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12DE" w14:textId="32F433FC" w:rsidR="00FC1F0A" w:rsidRDefault="00C07B6C" w:rsidP="00A129EB">
      <w:pPr>
        <w:tabs>
          <w:tab w:val="center" w:pos="4819"/>
          <w:tab w:val="right" w:pos="9638"/>
        </w:tabs>
        <w:ind w:firstLine="4990"/>
      </w:pPr>
      <w:r>
        <w:t xml:space="preserve"> </w:t>
      </w:r>
    </w:p>
    <w:p w14:paraId="65E4A5B7" w14:textId="77777777" w:rsidR="00A129EB" w:rsidRDefault="00A129EB" w:rsidP="00A129EB">
      <w:pPr>
        <w:ind w:firstLine="4990"/>
        <w:rPr>
          <w:color w:val="000000"/>
          <w:szCs w:val="24"/>
        </w:rPr>
      </w:pPr>
      <w:bookmarkStart w:id="0" w:name="_Hlk215663700"/>
      <w:r>
        <w:rPr>
          <w:color w:val="000000"/>
          <w:szCs w:val="24"/>
        </w:rPr>
        <w:t xml:space="preserve">Aktyvios darbo rinkos politikos </w:t>
      </w:r>
    </w:p>
    <w:p w14:paraId="0FB639DF" w14:textId="77777777" w:rsidR="00A129EB" w:rsidRDefault="00A129EB" w:rsidP="00A129EB">
      <w:pPr>
        <w:ind w:firstLine="4990"/>
        <w:rPr>
          <w:szCs w:val="24"/>
        </w:rPr>
      </w:pPr>
      <w:r>
        <w:rPr>
          <w:color w:val="000000"/>
          <w:szCs w:val="24"/>
        </w:rPr>
        <w:t>priemonių taikymo tvarkos aprašo</w:t>
      </w:r>
    </w:p>
    <w:p w14:paraId="5CD6D210" w14:textId="77777777" w:rsidR="00A129EB" w:rsidRDefault="00A129EB" w:rsidP="00A129EB">
      <w:pPr>
        <w:ind w:firstLine="4990"/>
        <w:rPr>
          <w:rFonts w:eastAsia="Calibri"/>
          <w:szCs w:val="24"/>
        </w:rPr>
      </w:pPr>
      <w:r>
        <w:rPr>
          <w:rFonts w:eastAsia="Calibri"/>
          <w:szCs w:val="24"/>
        </w:rPr>
        <w:t>23</w:t>
      </w:r>
      <w:r>
        <w:rPr>
          <w:rFonts w:eastAsia="Calibri"/>
          <w:szCs w:val="24"/>
          <w:vertAlign w:val="superscript"/>
        </w:rPr>
        <w:t>1</w:t>
      </w:r>
      <w:r>
        <w:rPr>
          <w:rFonts w:eastAsia="Calibri"/>
          <w:szCs w:val="24"/>
        </w:rPr>
        <w:t xml:space="preserve"> priedas</w:t>
      </w:r>
    </w:p>
    <w:bookmarkEnd w:id="0"/>
    <w:p w14:paraId="3845968A" w14:textId="77777777" w:rsidR="00A129EB" w:rsidRDefault="00A129EB">
      <w:pPr>
        <w:tabs>
          <w:tab w:val="left" w:pos="5637"/>
        </w:tabs>
        <w:ind w:left="108"/>
        <w:rPr>
          <w:rFonts w:eastAsia="Calibri"/>
          <w:szCs w:val="24"/>
        </w:rPr>
      </w:pPr>
    </w:p>
    <w:p w14:paraId="60AD0718" w14:textId="77777777" w:rsidR="00FC1F0A" w:rsidRDefault="00FC1F0A">
      <w:pPr>
        <w:keepNext/>
        <w:outlineLvl w:val="3"/>
        <w:rPr>
          <w:b/>
          <w:bCs/>
          <w:szCs w:val="24"/>
        </w:rPr>
      </w:pPr>
    </w:p>
    <w:p w14:paraId="68F61130" w14:textId="77777777" w:rsidR="00FC1F0A" w:rsidRDefault="00FC1F0A">
      <w:pPr>
        <w:keepNext/>
        <w:jc w:val="center"/>
        <w:outlineLvl w:val="3"/>
        <w:rPr>
          <w:b/>
          <w:bCs/>
          <w:szCs w:val="24"/>
        </w:rPr>
      </w:pPr>
    </w:p>
    <w:p w14:paraId="42FE46BD" w14:textId="77777777" w:rsidR="00FC1F0A" w:rsidRDefault="00A129EB">
      <w:pPr>
        <w:jc w:val="center"/>
        <w:rPr>
          <w:b/>
          <w:bCs/>
          <w:szCs w:val="24"/>
        </w:rPr>
      </w:pPr>
      <w:r>
        <w:rPr>
          <w:b/>
          <w:szCs w:val="24"/>
        </w:rPr>
        <w:t>(</w:t>
      </w:r>
      <w:r>
        <w:rPr>
          <w:b/>
          <w:bCs/>
          <w:szCs w:val="24"/>
        </w:rPr>
        <w:t>Teikimo dėl atitikimo 2014 m. birželio 17 d. Komisijos Reglamento (ES) Nr. 651/2014, kuriuo tam tikrų kategorijų pagalba skelbiama suderinama su vidaus rinka taikant sutarties 107 ir 108 straipsnius reikalavimams forma</w:t>
      </w:r>
      <w:r>
        <w:rPr>
          <w:b/>
          <w:szCs w:val="24"/>
        </w:rPr>
        <w:t>)</w:t>
      </w:r>
      <w:r>
        <w:rPr>
          <w:b/>
          <w:szCs w:val="24"/>
        </w:rPr>
        <w:tab/>
      </w:r>
    </w:p>
    <w:p w14:paraId="2FEC9482" w14:textId="77777777" w:rsidR="00FC1F0A" w:rsidRDefault="00FC1F0A">
      <w:pPr>
        <w:jc w:val="center"/>
        <w:rPr>
          <w:szCs w:val="24"/>
        </w:rPr>
      </w:pPr>
    </w:p>
    <w:p w14:paraId="2209FC85" w14:textId="77777777" w:rsidR="00FC1F0A" w:rsidRDefault="00A129EB">
      <w:pPr>
        <w:jc w:val="both"/>
        <w:textAlignment w:val="baseline"/>
        <w:rPr>
          <w:sz w:val="18"/>
          <w:szCs w:val="18"/>
          <w:lang w:eastAsia="lt-LT"/>
        </w:rPr>
      </w:pPr>
      <w:r>
        <w:rPr>
          <w:lang w:eastAsia="lt-LT"/>
        </w:rPr>
        <w:t>________________________________________________________________________ </w:t>
      </w:r>
    </w:p>
    <w:p w14:paraId="7429441E" w14:textId="77777777" w:rsidR="00FC1F0A" w:rsidRDefault="00A129EB">
      <w:pPr>
        <w:jc w:val="center"/>
        <w:textAlignment w:val="baseline"/>
        <w:rPr>
          <w:sz w:val="18"/>
        </w:rPr>
      </w:pPr>
      <w:r>
        <w:rPr>
          <w:sz w:val="19"/>
          <w:vertAlign w:val="superscript"/>
        </w:rPr>
        <w:t xml:space="preserve">(juridinio asmens pavadinimas, kodas ar fizinio asmens vardas ir pavardė, gim. data, </w:t>
      </w:r>
      <w:r>
        <w:rPr>
          <w:sz w:val="19"/>
          <w:szCs w:val="19"/>
          <w:vertAlign w:val="superscript"/>
          <w:lang w:eastAsia="lt-LT"/>
        </w:rPr>
        <w:t>veiklos rūšis pagal EVRK(4 skaitmenų kodas pagal EVRK 2 red. arba 6 skaitmenų kodas pagal EVRK 2.1 red.))</w:t>
      </w:r>
      <w:r>
        <w:rPr>
          <w:sz w:val="19"/>
          <w:szCs w:val="19"/>
          <w:lang w:eastAsia="lt-LT"/>
        </w:rPr>
        <w:t> </w:t>
      </w:r>
    </w:p>
    <w:p w14:paraId="6E272FE0" w14:textId="77777777" w:rsidR="00FC1F0A" w:rsidRDefault="00A129EB">
      <w:pPr>
        <w:jc w:val="both"/>
        <w:textAlignment w:val="baseline"/>
        <w:rPr>
          <w:sz w:val="18"/>
        </w:rPr>
      </w:pPr>
      <w:r>
        <w:t>_________________________________________________________________________</w:t>
      </w:r>
      <w:r>
        <w:rPr>
          <w:lang w:eastAsia="lt-LT"/>
        </w:rPr>
        <w:t> </w:t>
      </w:r>
    </w:p>
    <w:p w14:paraId="7064A3AD" w14:textId="77777777" w:rsidR="00FC1F0A" w:rsidRDefault="00A129EB">
      <w:pPr>
        <w:jc w:val="center"/>
        <w:textAlignment w:val="baseline"/>
        <w:rPr>
          <w:sz w:val="18"/>
        </w:rPr>
      </w:pPr>
      <w:r>
        <w:rPr>
          <w:sz w:val="19"/>
          <w:vertAlign w:val="superscript"/>
        </w:rPr>
        <w:t>(adresas, telefonas, el.</w:t>
      </w:r>
      <w:r>
        <w:rPr>
          <w:sz w:val="19"/>
          <w:szCs w:val="19"/>
          <w:vertAlign w:val="superscript"/>
          <w:lang w:eastAsia="lt-LT"/>
        </w:rPr>
        <w:t> </w:t>
      </w:r>
      <w:r>
        <w:rPr>
          <w:sz w:val="19"/>
          <w:vertAlign w:val="superscript"/>
        </w:rPr>
        <w:t xml:space="preserve"> paštas, interneto svetainės adresas)</w:t>
      </w:r>
      <w:r>
        <w:rPr>
          <w:sz w:val="19"/>
          <w:szCs w:val="19"/>
          <w:lang w:eastAsia="lt-LT"/>
        </w:rPr>
        <w:t> </w:t>
      </w:r>
    </w:p>
    <w:p w14:paraId="5FE81510" w14:textId="77777777" w:rsidR="00FC1F0A" w:rsidRDefault="00A129EB">
      <w:pPr>
        <w:jc w:val="both"/>
        <w:textAlignment w:val="baseline"/>
        <w:rPr>
          <w:sz w:val="18"/>
        </w:rPr>
      </w:pPr>
      <w:r>
        <w:t>_________________________________________________________________________</w:t>
      </w:r>
      <w:r>
        <w:rPr>
          <w:lang w:eastAsia="lt-LT"/>
        </w:rPr>
        <w:t> </w:t>
      </w:r>
    </w:p>
    <w:p w14:paraId="657CF255" w14:textId="77777777" w:rsidR="00FC1F0A" w:rsidRDefault="00A129EB">
      <w:pPr>
        <w:jc w:val="center"/>
        <w:textAlignment w:val="baseline"/>
        <w:rPr>
          <w:sz w:val="18"/>
        </w:rPr>
      </w:pPr>
      <w:r>
        <w:rPr>
          <w:sz w:val="19"/>
          <w:vertAlign w:val="superscript"/>
        </w:rPr>
        <w:t>(banko pavadinimas, a/s numeris)</w:t>
      </w:r>
      <w:r>
        <w:rPr>
          <w:sz w:val="19"/>
          <w:szCs w:val="19"/>
          <w:lang w:eastAsia="lt-LT"/>
        </w:rPr>
        <w:t> </w:t>
      </w:r>
    </w:p>
    <w:p w14:paraId="056999D3" w14:textId="77777777" w:rsidR="00FC1F0A" w:rsidRDefault="00A129EB">
      <w:pPr>
        <w:jc w:val="both"/>
        <w:textAlignment w:val="baseline"/>
        <w:rPr>
          <w:sz w:val="18"/>
        </w:rPr>
      </w:pPr>
      <w:r>
        <w:rPr>
          <w:sz w:val="16"/>
        </w:rPr>
        <w:t>__________________________________________________________________________________________________</w:t>
      </w:r>
      <w:r>
        <w:rPr>
          <w:sz w:val="16"/>
          <w:szCs w:val="16"/>
          <w:lang w:eastAsia="lt-LT"/>
        </w:rPr>
        <w:t> </w:t>
      </w:r>
    </w:p>
    <w:p w14:paraId="3F3ED931" w14:textId="77777777" w:rsidR="00FC1F0A" w:rsidRDefault="00A129EB">
      <w:pPr>
        <w:jc w:val="center"/>
        <w:textAlignment w:val="baseline"/>
        <w:rPr>
          <w:sz w:val="18"/>
        </w:rPr>
      </w:pPr>
      <w:r>
        <w:rPr>
          <w:sz w:val="19"/>
          <w:vertAlign w:val="superscript"/>
        </w:rPr>
        <w:t>(buveinės adresas)</w:t>
      </w:r>
      <w:r>
        <w:rPr>
          <w:sz w:val="19"/>
          <w:szCs w:val="19"/>
          <w:lang w:eastAsia="lt-LT"/>
        </w:rPr>
        <w:t> </w:t>
      </w:r>
    </w:p>
    <w:p w14:paraId="691F06B6" w14:textId="77777777" w:rsidR="00FC1F0A" w:rsidRDefault="00FC1F0A">
      <w:pPr>
        <w:jc w:val="center"/>
        <w:rPr>
          <w:szCs w:val="24"/>
        </w:rPr>
      </w:pPr>
    </w:p>
    <w:p w14:paraId="6651731E" w14:textId="77777777" w:rsidR="00FC1F0A" w:rsidRDefault="00A129EB">
      <w:pPr>
        <w:keepNext/>
        <w:rPr>
          <w:bCs/>
          <w:szCs w:val="24"/>
        </w:rPr>
      </w:pPr>
      <w:r>
        <w:rPr>
          <w:bCs/>
          <w:szCs w:val="24"/>
        </w:rPr>
        <w:t>Užimtumo tarnybos prie Lietuvos Respublikos</w:t>
      </w:r>
    </w:p>
    <w:p w14:paraId="5DBA4187" w14:textId="77777777" w:rsidR="00FC1F0A" w:rsidRDefault="00A129EB">
      <w:pPr>
        <w:keepNext/>
        <w:rPr>
          <w:bCs/>
          <w:szCs w:val="24"/>
        </w:rPr>
      </w:pPr>
      <w:r>
        <w:rPr>
          <w:bCs/>
          <w:szCs w:val="24"/>
        </w:rPr>
        <w:t xml:space="preserve">socialinės apsaugos ir darbo ministerijos </w:t>
      </w:r>
    </w:p>
    <w:p w14:paraId="4D70CD01" w14:textId="77777777" w:rsidR="00FC1F0A" w:rsidRDefault="00A129EB">
      <w:pPr>
        <w:keepNext/>
        <w:rPr>
          <w:bCs/>
          <w:szCs w:val="24"/>
        </w:rPr>
      </w:pPr>
      <w:r>
        <w:rPr>
          <w:bCs/>
          <w:szCs w:val="24"/>
        </w:rPr>
        <w:t>(toliau – Užimtumo tarnyba)</w:t>
      </w:r>
    </w:p>
    <w:p w14:paraId="7B758DF4" w14:textId="77777777" w:rsidR="00FC1F0A" w:rsidRDefault="00A129EB">
      <w:pPr>
        <w:keepNext/>
        <w:rPr>
          <w:bCs/>
          <w:szCs w:val="24"/>
        </w:rPr>
      </w:pPr>
      <w:r>
        <w:rPr>
          <w:bCs/>
          <w:szCs w:val="24"/>
        </w:rPr>
        <w:t>Priemonių organizavimo  skyriui</w:t>
      </w:r>
    </w:p>
    <w:p w14:paraId="67D3CDBD" w14:textId="77777777" w:rsidR="00FC1F0A" w:rsidRDefault="00FC1F0A">
      <w:pPr>
        <w:rPr>
          <w:szCs w:val="24"/>
        </w:rPr>
      </w:pPr>
    </w:p>
    <w:p w14:paraId="4388AE7E" w14:textId="77777777" w:rsidR="00FC1F0A" w:rsidRDefault="00FC1F0A">
      <w:pPr>
        <w:rPr>
          <w:szCs w:val="24"/>
        </w:rPr>
      </w:pPr>
    </w:p>
    <w:p w14:paraId="6D9AE1A6" w14:textId="77777777" w:rsidR="00FC1F0A" w:rsidRDefault="00A129EB">
      <w:pPr>
        <w:jc w:val="center"/>
        <w:rPr>
          <w:b/>
          <w:bCs/>
          <w:szCs w:val="24"/>
        </w:rPr>
      </w:pPr>
      <w:r>
        <w:rPr>
          <w:b/>
          <w:bCs/>
          <w:szCs w:val="24"/>
        </w:rPr>
        <w:t>TEIKIMAS DĖL ATITIKIMO 2014 M. BIRŽELIO 17 D. KOMISIJOS REGLAMENTO (ES) NR. 651/2014, KURIUO TAM TIKRŲ KATEGORIJŲ PAGALBA SKELBIAMA SUDERINAMA SU VIDAUS RINKA TAIKANT SUTARTIES 107 IR 108 STRAIPSNIUS REIKALAVIMAMS</w:t>
      </w:r>
    </w:p>
    <w:p w14:paraId="69CFA140" w14:textId="77777777" w:rsidR="00FC1F0A" w:rsidRDefault="00FC1F0A">
      <w:pPr>
        <w:jc w:val="center"/>
        <w:rPr>
          <w:bCs/>
          <w:szCs w:val="24"/>
        </w:rPr>
      </w:pPr>
    </w:p>
    <w:p w14:paraId="5D6A0F81" w14:textId="77777777" w:rsidR="00FC1F0A" w:rsidRDefault="00A129EB">
      <w:pPr>
        <w:jc w:val="center"/>
        <w:rPr>
          <w:szCs w:val="24"/>
        </w:rPr>
      </w:pPr>
      <w:r>
        <w:rPr>
          <w:szCs w:val="24"/>
        </w:rPr>
        <w:t>20__ m. ________________  d.</w:t>
      </w:r>
    </w:p>
    <w:p w14:paraId="48E1C059" w14:textId="77777777" w:rsidR="00FC1F0A" w:rsidRDefault="00FC1F0A">
      <w:pPr>
        <w:rPr>
          <w:sz w:val="8"/>
          <w:szCs w:val="8"/>
        </w:rPr>
      </w:pPr>
    </w:p>
    <w:p w14:paraId="179CF32C" w14:textId="77777777" w:rsidR="00FC1F0A" w:rsidRDefault="00FC1F0A">
      <w:pPr>
        <w:ind w:left="720" w:hanging="360"/>
        <w:rPr>
          <w:b/>
          <w:bCs/>
          <w:color w:val="000000"/>
          <w:szCs w:val="24"/>
          <w:lang w:eastAsia="lt-LT"/>
        </w:rPr>
      </w:pPr>
    </w:p>
    <w:p w14:paraId="7B29947B" w14:textId="77777777" w:rsidR="00FC1F0A" w:rsidRDefault="00FC1F0A">
      <w:pPr>
        <w:rPr>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780"/>
        <w:gridCol w:w="694"/>
        <w:gridCol w:w="1922"/>
      </w:tblGrid>
      <w:tr w:rsidR="00FC1F0A" w14:paraId="12B092ED" w14:textId="77777777">
        <w:trPr>
          <w:trHeight w:val="312"/>
        </w:trPr>
        <w:tc>
          <w:tcPr>
            <w:tcW w:w="6232" w:type="dxa"/>
            <w:vAlign w:val="center"/>
            <w:hideMark/>
          </w:tcPr>
          <w:p w14:paraId="0532270D" w14:textId="77777777" w:rsidR="00FC1F0A" w:rsidRDefault="00A129EB">
            <w:pPr>
              <w:rPr>
                <w:b/>
                <w:bCs/>
              </w:rPr>
            </w:pPr>
            <w:r>
              <w:rPr>
                <w:b/>
                <w:bCs/>
              </w:rPr>
              <w:t>Teiginys</w:t>
            </w:r>
          </w:p>
        </w:tc>
        <w:tc>
          <w:tcPr>
            <w:tcW w:w="780" w:type="dxa"/>
            <w:vAlign w:val="center"/>
            <w:hideMark/>
          </w:tcPr>
          <w:p w14:paraId="7010D4A4" w14:textId="77777777" w:rsidR="00FC1F0A" w:rsidRDefault="00A129EB">
            <w:pPr>
              <w:rPr>
                <w:b/>
                <w:bCs/>
                <w:lang w:eastAsia="lt-LT"/>
              </w:rPr>
            </w:pPr>
            <w:r>
              <w:rPr>
                <w:b/>
                <w:bCs/>
                <w:lang w:eastAsia="lt-LT"/>
              </w:rPr>
              <w:t>Taip</w:t>
            </w:r>
          </w:p>
        </w:tc>
        <w:tc>
          <w:tcPr>
            <w:tcW w:w="694" w:type="dxa"/>
            <w:vAlign w:val="center"/>
          </w:tcPr>
          <w:p w14:paraId="50BA9D40" w14:textId="77777777" w:rsidR="00FC1F0A" w:rsidRDefault="00A129EB">
            <w:pPr>
              <w:rPr>
                <w:b/>
                <w:bCs/>
                <w:lang w:eastAsia="lt-LT"/>
              </w:rPr>
            </w:pPr>
            <w:r>
              <w:rPr>
                <w:b/>
                <w:bCs/>
                <w:lang w:eastAsia="lt-LT"/>
              </w:rPr>
              <w:t>Ne</w:t>
            </w:r>
          </w:p>
        </w:tc>
        <w:tc>
          <w:tcPr>
            <w:tcW w:w="1922" w:type="dxa"/>
            <w:vAlign w:val="center"/>
            <w:hideMark/>
          </w:tcPr>
          <w:p w14:paraId="222F7BE4" w14:textId="77777777" w:rsidR="00FC1F0A" w:rsidRDefault="00A129EB">
            <w:pPr>
              <w:ind w:firstLine="62"/>
              <w:rPr>
                <w:b/>
                <w:bCs/>
              </w:rPr>
            </w:pPr>
            <w:r>
              <w:rPr>
                <w:b/>
                <w:bCs/>
              </w:rPr>
              <w:t>Pastabos</w:t>
            </w:r>
          </w:p>
        </w:tc>
      </w:tr>
      <w:tr w:rsidR="00FC1F0A" w14:paraId="127A8086" w14:textId="77777777">
        <w:trPr>
          <w:trHeight w:val="312"/>
        </w:trPr>
        <w:tc>
          <w:tcPr>
            <w:tcW w:w="6232" w:type="dxa"/>
            <w:hideMark/>
          </w:tcPr>
          <w:p w14:paraId="1B015150" w14:textId="77777777" w:rsidR="00FC1F0A" w:rsidRDefault="00A129EB">
            <w:pPr>
              <w:rPr>
                <w:szCs w:val="24"/>
              </w:rPr>
            </w:pPr>
            <w:r>
              <w:rPr>
                <w:szCs w:val="24"/>
              </w:rPr>
              <w:t>Darbdavys nėra gavęs Lietuvos Respublikoje valstybės pagalbos, kuri Europos Komisijos sprendimu) (dėl individualios pagalbos arba pagalbos schemos) buvo pripažinta neteisėta ir nesuderinama su vidaus rinka, arba yra grąžinęs visą jos sumą, įskaitant palūkanas, kaip nustatyta 2015 m. liepos 13 d. Tarybos reglamente </w:t>
            </w:r>
            <w:r>
              <w:rPr>
                <w:color w:val="0000FF"/>
                <w:szCs w:val="24"/>
                <w:u w:val="single"/>
              </w:rPr>
              <w:t>(ES) 2015/1589</w:t>
            </w:r>
            <w:r>
              <w:rPr>
                <w:szCs w:val="24"/>
              </w:rPr>
              <w:t>, nustatančiame išsamias Sutarties dėl Europos Sąjungos veikimo 108 straipsnio taikymo taisykles </w:t>
            </w:r>
            <w:r>
              <w:rPr>
                <w:szCs w:val="24"/>
                <w:shd w:val="clear" w:color="auto" w:fill="FFFFFF"/>
              </w:rPr>
              <w:t>(kodifikuota redakcija)</w:t>
            </w:r>
          </w:p>
          <w:p w14:paraId="1C991AEB" w14:textId="77777777" w:rsidR="00FC1F0A" w:rsidRDefault="00A129EB">
            <w:pPr>
              <w:rPr>
                <w:szCs w:val="24"/>
              </w:rPr>
            </w:pPr>
            <w:r>
              <w:rPr>
                <w:color w:val="467886"/>
                <w:szCs w:val="24"/>
                <w:u w:val="single"/>
              </w:rPr>
              <w:t>(Reglamento (ES) Nr. 651/2014 I skyriaus 1 straipsnio 4 dalies a punktas)</w:t>
            </w:r>
          </w:p>
        </w:tc>
        <w:tc>
          <w:tcPr>
            <w:tcW w:w="780" w:type="dxa"/>
            <w:hideMark/>
          </w:tcPr>
          <w:p w14:paraId="38AA6D55" w14:textId="77777777" w:rsidR="00FC1F0A" w:rsidRDefault="00A129EB">
            <w:pPr>
              <w:rPr>
                <w:b/>
                <w:bCs/>
                <w:lang w:eastAsia="lt-LT"/>
              </w:rPr>
            </w:pPr>
            <w:r>
              <w:rPr>
                <w:b/>
                <w:bCs/>
                <w:lang w:eastAsia="lt-LT"/>
              </w:rPr>
              <w:t>☐</w:t>
            </w:r>
          </w:p>
        </w:tc>
        <w:tc>
          <w:tcPr>
            <w:tcW w:w="694" w:type="dxa"/>
          </w:tcPr>
          <w:p w14:paraId="7D31260C" w14:textId="77777777" w:rsidR="00FC1F0A" w:rsidRDefault="00A129EB">
            <w:pPr>
              <w:rPr>
                <w:b/>
                <w:bCs/>
                <w:lang w:eastAsia="lt-LT"/>
              </w:rPr>
            </w:pPr>
            <w:r>
              <w:rPr>
                <w:b/>
                <w:bCs/>
                <w:lang w:eastAsia="lt-LT"/>
              </w:rPr>
              <w:t>☐</w:t>
            </w:r>
          </w:p>
        </w:tc>
        <w:tc>
          <w:tcPr>
            <w:tcW w:w="1922" w:type="dxa"/>
            <w:hideMark/>
          </w:tcPr>
          <w:p w14:paraId="618DA832" w14:textId="77777777" w:rsidR="00FC1F0A" w:rsidRDefault="00FC1F0A">
            <w:pPr>
              <w:ind w:firstLine="62"/>
              <w:rPr>
                <w:szCs w:val="24"/>
              </w:rPr>
            </w:pPr>
          </w:p>
        </w:tc>
      </w:tr>
      <w:tr w:rsidR="00FC1F0A" w14:paraId="258F44A7" w14:textId="77777777">
        <w:trPr>
          <w:trHeight w:val="312"/>
        </w:trPr>
        <w:tc>
          <w:tcPr>
            <w:tcW w:w="6232" w:type="dxa"/>
            <w:hideMark/>
          </w:tcPr>
          <w:p w14:paraId="00A15FE9" w14:textId="77777777" w:rsidR="00FC1F0A" w:rsidRDefault="00A129EB">
            <w:pPr>
              <w:rPr>
                <w:szCs w:val="24"/>
              </w:rPr>
            </w:pPr>
            <w:r>
              <w:rPr>
                <w:szCs w:val="24"/>
              </w:rPr>
              <w:t>Darbdavys ar įmonių grupė, kuriai priklauso darbdavys, nėra patiriantys sunkumų, kaip tai nustatyta Reglamento (ES) Nr. 651/2014 2 straipsnio 18 punkte</w:t>
            </w:r>
          </w:p>
          <w:p w14:paraId="49E92F35" w14:textId="77777777" w:rsidR="00FC1F0A" w:rsidRDefault="00A129EB">
            <w:pPr>
              <w:rPr>
                <w:szCs w:val="24"/>
              </w:rPr>
            </w:pPr>
            <w:r>
              <w:rPr>
                <w:color w:val="467886"/>
                <w:szCs w:val="24"/>
                <w:u w:val="single"/>
              </w:rPr>
              <w:t>(Reglamento (ES) Nr. 651/2014 I skyriaus 1 straipsnio 4 dalies c punktas)</w:t>
            </w:r>
          </w:p>
        </w:tc>
        <w:tc>
          <w:tcPr>
            <w:tcW w:w="780" w:type="dxa"/>
            <w:hideMark/>
          </w:tcPr>
          <w:p w14:paraId="11C4DBA0" w14:textId="77777777" w:rsidR="00FC1F0A" w:rsidRDefault="00A129EB">
            <w:pPr>
              <w:rPr>
                <w:b/>
                <w:bCs/>
                <w:lang w:eastAsia="lt-LT"/>
              </w:rPr>
            </w:pPr>
            <w:r>
              <w:rPr>
                <w:b/>
                <w:bCs/>
                <w:lang w:eastAsia="lt-LT"/>
              </w:rPr>
              <w:t>☐</w:t>
            </w:r>
          </w:p>
        </w:tc>
        <w:tc>
          <w:tcPr>
            <w:tcW w:w="694" w:type="dxa"/>
          </w:tcPr>
          <w:p w14:paraId="482A401F" w14:textId="77777777" w:rsidR="00FC1F0A" w:rsidRDefault="00A129EB">
            <w:pPr>
              <w:rPr>
                <w:b/>
                <w:bCs/>
                <w:lang w:eastAsia="lt-LT"/>
              </w:rPr>
            </w:pPr>
            <w:r>
              <w:rPr>
                <w:b/>
                <w:bCs/>
                <w:lang w:eastAsia="lt-LT"/>
              </w:rPr>
              <w:t>☐</w:t>
            </w:r>
          </w:p>
        </w:tc>
        <w:tc>
          <w:tcPr>
            <w:tcW w:w="1922" w:type="dxa"/>
            <w:hideMark/>
          </w:tcPr>
          <w:p w14:paraId="17EACB8B" w14:textId="77777777" w:rsidR="00FC1F0A" w:rsidRDefault="00FC1F0A">
            <w:pPr>
              <w:ind w:firstLine="62"/>
              <w:rPr>
                <w:szCs w:val="24"/>
              </w:rPr>
            </w:pPr>
          </w:p>
        </w:tc>
      </w:tr>
      <w:tr w:rsidR="00FC1F0A" w14:paraId="245501C7" w14:textId="77777777">
        <w:trPr>
          <w:trHeight w:val="312"/>
        </w:trPr>
        <w:tc>
          <w:tcPr>
            <w:tcW w:w="6232" w:type="dxa"/>
            <w:hideMark/>
          </w:tcPr>
          <w:p w14:paraId="04497424" w14:textId="77777777" w:rsidR="00FC1F0A" w:rsidRDefault="00A129EB">
            <w:pPr>
              <w:rPr>
                <w:szCs w:val="24"/>
              </w:rPr>
            </w:pPr>
            <w:r>
              <w:rPr>
                <w:szCs w:val="24"/>
              </w:rPr>
              <w:lastRenderedPageBreak/>
              <w:t>Darbdavys susijęs su kita (-</w:t>
            </w:r>
            <w:proofErr w:type="spellStart"/>
            <w:r>
              <w:rPr>
                <w:szCs w:val="24"/>
              </w:rPr>
              <w:t>omis</w:t>
            </w:r>
            <w:proofErr w:type="spellEnd"/>
            <w:r>
              <w:rPr>
                <w:szCs w:val="24"/>
              </w:rPr>
              <w:t>) įmone (-</w:t>
            </w:r>
            <w:proofErr w:type="spellStart"/>
            <w:r>
              <w:rPr>
                <w:szCs w:val="24"/>
              </w:rPr>
              <w:t>ėmis</w:t>
            </w:r>
            <w:proofErr w:type="spellEnd"/>
            <w:r>
              <w:rPr>
                <w:szCs w:val="24"/>
              </w:rPr>
              <w:t>)</w:t>
            </w:r>
          </w:p>
          <w:p w14:paraId="10F948C5" w14:textId="77777777" w:rsidR="00FC1F0A" w:rsidRDefault="00A129EB">
            <w:pPr>
              <w:rPr>
                <w:szCs w:val="24"/>
              </w:rPr>
            </w:pPr>
            <w:r>
              <w:rPr>
                <w:color w:val="467886"/>
                <w:szCs w:val="24"/>
                <w:u w:val="single"/>
              </w:rPr>
              <w:t>(Reglamento (ES) Nr. 651/2014 I skyriaus 3 straipsnio 3 dalis)</w:t>
            </w:r>
          </w:p>
        </w:tc>
        <w:tc>
          <w:tcPr>
            <w:tcW w:w="780" w:type="dxa"/>
            <w:hideMark/>
          </w:tcPr>
          <w:p w14:paraId="4669702D" w14:textId="77777777" w:rsidR="00FC1F0A" w:rsidRDefault="00A129EB">
            <w:pPr>
              <w:rPr>
                <w:b/>
                <w:bCs/>
                <w:lang w:eastAsia="lt-LT"/>
              </w:rPr>
            </w:pPr>
            <w:r>
              <w:rPr>
                <w:b/>
                <w:bCs/>
                <w:lang w:eastAsia="lt-LT"/>
              </w:rPr>
              <w:t>☐</w:t>
            </w:r>
          </w:p>
        </w:tc>
        <w:tc>
          <w:tcPr>
            <w:tcW w:w="694" w:type="dxa"/>
          </w:tcPr>
          <w:p w14:paraId="56015A8B" w14:textId="77777777" w:rsidR="00FC1F0A" w:rsidRDefault="00A129EB">
            <w:pPr>
              <w:rPr>
                <w:b/>
                <w:bCs/>
                <w:lang w:eastAsia="lt-LT"/>
              </w:rPr>
            </w:pPr>
            <w:r>
              <w:rPr>
                <w:b/>
                <w:bCs/>
                <w:lang w:eastAsia="lt-LT"/>
              </w:rPr>
              <w:t>☐</w:t>
            </w:r>
          </w:p>
        </w:tc>
        <w:tc>
          <w:tcPr>
            <w:tcW w:w="1922" w:type="dxa"/>
            <w:hideMark/>
          </w:tcPr>
          <w:p w14:paraId="0CFB6B6E" w14:textId="77777777" w:rsidR="00FC1F0A" w:rsidRDefault="00FC1F0A">
            <w:pPr>
              <w:rPr>
                <w:i/>
                <w:iCs/>
                <w:szCs w:val="24"/>
              </w:rPr>
            </w:pPr>
          </w:p>
        </w:tc>
      </w:tr>
      <w:tr w:rsidR="00FC1F0A" w14:paraId="0B929886" w14:textId="77777777">
        <w:trPr>
          <w:trHeight w:val="576"/>
        </w:trPr>
        <w:tc>
          <w:tcPr>
            <w:tcW w:w="6232" w:type="dxa"/>
            <w:hideMark/>
          </w:tcPr>
          <w:p w14:paraId="6C31E637" w14:textId="77777777" w:rsidR="00FC1F0A" w:rsidRDefault="00A129EB">
            <w:pPr>
              <w:rPr>
                <w:szCs w:val="24"/>
              </w:rPr>
            </w:pPr>
            <w:r>
              <w:rPr>
                <w:szCs w:val="24"/>
              </w:rPr>
              <w:t>Gavus subsidiją darbo užmokesčiui nebus viršyta valstybės pagalbos teikimo riba: bendra darbdaviui ir su juo susijusioms įmonėms suteiktos valstybės pagalbos pagal Reglamentą (ES) Nr. 651/2014 suma negali viršyti 5,5 mln. eurų vienai įmonei per metus, jei subsidija teikiama įdarbinus asmenis su negalia, – 11 mln. eurų vienai įmonei per metus</w:t>
            </w:r>
          </w:p>
          <w:p w14:paraId="5159AB4A" w14:textId="77777777" w:rsidR="00FC1F0A" w:rsidRDefault="00A129EB">
            <w:pPr>
              <w:rPr>
                <w:szCs w:val="24"/>
              </w:rPr>
            </w:pPr>
            <w:r>
              <w:rPr>
                <w:color w:val="467886"/>
                <w:szCs w:val="24"/>
                <w:u w:val="single"/>
              </w:rPr>
              <w:t>(Reglamento (ES) Nr. 651/2014 I skyriaus 4 straipsnio 1 dalies o, p, q punktai)</w:t>
            </w:r>
          </w:p>
          <w:p w14:paraId="780D1184" w14:textId="77777777" w:rsidR="00FC1F0A" w:rsidRDefault="00FC1F0A">
            <w:pPr>
              <w:rPr>
                <w:szCs w:val="24"/>
              </w:rPr>
            </w:pPr>
          </w:p>
        </w:tc>
        <w:tc>
          <w:tcPr>
            <w:tcW w:w="780" w:type="dxa"/>
            <w:hideMark/>
          </w:tcPr>
          <w:p w14:paraId="2865FAC7" w14:textId="77777777" w:rsidR="00FC1F0A" w:rsidRDefault="00A129EB">
            <w:pPr>
              <w:rPr>
                <w:b/>
                <w:bCs/>
                <w:lang w:eastAsia="lt-LT"/>
              </w:rPr>
            </w:pPr>
            <w:r>
              <w:rPr>
                <w:b/>
                <w:bCs/>
                <w:lang w:eastAsia="lt-LT"/>
              </w:rPr>
              <w:t>☐</w:t>
            </w:r>
          </w:p>
        </w:tc>
        <w:tc>
          <w:tcPr>
            <w:tcW w:w="694" w:type="dxa"/>
          </w:tcPr>
          <w:p w14:paraId="6B5267A7" w14:textId="77777777" w:rsidR="00FC1F0A" w:rsidRDefault="00A129EB">
            <w:pPr>
              <w:rPr>
                <w:b/>
                <w:bCs/>
                <w:lang w:eastAsia="lt-LT"/>
              </w:rPr>
            </w:pPr>
            <w:r>
              <w:rPr>
                <w:b/>
                <w:bCs/>
                <w:lang w:eastAsia="lt-LT"/>
              </w:rPr>
              <w:t>☐</w:t>
            </w:r>
          </w:p>
        </w:tc>
        <w:tc>
          <w:tcPr>
            <w:tcW w:w="1922" w:type="dxa"/>
            <w:hideMark/>
          </w:tcPr>
          <w:p w14:paraId="535F56D2" w14:textId="77777777" w:rsidR="00FC1F0A" w:rsidRDefault="00FC1F0A">
            <w:pPr>
              <w:ind w:firstLine="62"/>
              <w:rPr>
                <w:szCs w:val="24"/>
              </w:rPr>
            </w:pPr>
          </w:p>
        </w:tc>
      </w:tr>
      <w:tr w:rsidR="00FC1F0A" w14:paraId="3A0EE514" w14:textId="77777777">
        <w:trPr>
          <w:trHeight w:val="576"/>
        </w:trPr>
        <w:tc>
          <w:tcPr>
            <w:tcW w:w="6232" w:type="dxa"/>
          </w:tcPr>
          <w:p w14:paraId="11F2052E" w14:textId="77777777" w:rsidR="00FC1F0A" w:rsidRDefault="00A129EB">
            <w:pPr>
              <w:rPr>
                <w:szCs w:val="24"/>
              </w:rPr>
            </w:pPr>
            <w:r>
              <w:rPr>
                <w:szCs w:val="24"/>
              </w:rPr>
              <w:t>Įmonė yra pateikusi patvirtintus finansinės atskaitomybės dokumentus Juridinių asmenų registrui</w:t>
            </w:r>
          </w:p>
        </w:tc>
        <w:tc>
          <w:tcPr>
            <w:tcW w:w="780" w:type="dxa"/>
          </w:tcPr>
          <w:p w14:paraId="0CBD678B" w14:textId="77777777" w:rsidR="00FC1F0A" w:rsidRDefault="00A129EB">
            <w:pPr>
              <w:rPr>
                <w:color w:val="2B579A"/>
                <w:shd w:val="clear" w:color="auto" w:fill="E6E6E6"/>
                <w:lang w:eastAsia="lt-LT"/>
              </w:rPr>
            </w:pPr>
            <w:r>
              <w:rPr>
                <w:b/>
                <w:bCs/>
                <w:lang w:eastAsia="lt-LT"/>
              </w:rPr>
              <w:t>☐</w:t>
            </w:r>
          </w:p>
        </w:tc>
        <w:tc>
          <w:tcPr>
            <w:tcW w:w="694" w:type="dxa"/>
          </w:tcPr>
          <w:p w14:paraId="5939EAF4" w14:textId="77777777" w:rsidR="00FC1F0A" w:rsidRDefault="00A129EB">
            <w:pPr>
              <w:rPr>
                <w:b/>
                <w:bCs/>
                <w:lang w:eastAsia="lt-LT"/>
              </w:rPr>
            </w:pPr>
            <w:r>
              <w:rPr>
                <w:b/>
                <w:bCs/>
                <w:lang w:eastAsia="lt-LT"/>
              </w:rPr>
              <w:t>☐</w:t>
            </w:r>
          </w:p>
        </w:tc>
        <w:tc>
          <w:tcPr>
            <w:tcW w:w="1922" w:type="dxa"/>
          </w:tcPr>
          <w:p w14:paraId="1DF779F8" w14:textId="77777777" w:rsidR="00FC1F0A" w:rsidRDefault="00FC1F0A">
            <w:pPr>
              <w:rPr>
                <w:szCs w:val="24"/>
              </w:rPr>
            </w:pPr>
          </w:p>
        </w:tc>
      </w:tr>
      <w:tr w:rsidR="00FC1F0A" w14:paraId="576C1A4F" w14:textId="77777777">
        <w:trPr>
          <w:trHeight w:val="624"/>
        </w:trPr>
        <w:tc>
          <w:tcPr>
            <w:tcW w:w="6232" w:type="dxa"/>
            <w:hideMark/>
          </w:tcPr>
          <w:p w14:paraId="6876FCC4" w14:textId="3D9B35EC" w:rsidR="00FC1F0A" w:rsidRDefault="00A129EB">
            <w:pPr>
              <w:rPr>
                <w:color w:val="000000"/>
                <w:szCs w:val="24"/>
              </w:rPr>
            </w:pPr>
            <w:r>
              <w:rPr>
                <w:color w:val="000000"/>
                <w:szCs w:val="24"/>
              </w:rPr>
              <w:t xml:space="preserve">Darbdaviui įdarbinus Užimtumo įstatymo 42 straipsnio 1 dalyje nurodytus asmenis, grynasis darbuotojų skaičius </w:t>
            </w:r>
            <w:r w:rsidR="005D3C92" w:rsidRPr="005D3C92">
              <w:rPr>
                <w:color w:val="000000"/>
                <w:szCs w:val="24"/>
              </w:rPr>
              <w:t>pas darbdavį ir su juo susijusioje (-</w:t>
            </w:r>
            <w:proofErr w:type="spellStart"/>
            <w:r w:rsidR="005D3C92" w:rsidRPr="005D3C92">
              <w:rPr>
                <w:color w:val="000000"/>
                <w:szCs w:val="24"/>
              </w:rPr>
              <w:t>iose</w:t>
            </w:r>
            <w:proofErr w:type="spellEnd"/>
            <w:r w:rsidR="005D3C92" w:rsidRPr="005D3C92">
              <w:rPr>
                <w:color w:val="000000"/>
                <w:szCs w:val="24"/>
              </w:rPr>
              <w:t>) įmonėje (-</w:t>
            </w:r>
            <w:proofErr w:type="spellStart"/>
            <w:r w:rsidR="005D3C92" w:rsidRPr="005D3C92">
              <w:rPr>
                <w:color w:val="000000"/>
                <w:szCs w:val="24"/>
              </w:rPr>
              <w:t>ėse</w:t>
            </w:r>
            <w:proofErr w:type="spellEnd"/>
            <w:r w:rsidR="005D3C92" w:rsidRPr="005D3C92">
              <w:rPr>
                <w:color w:val="000000"/>
                <w:szCs w:val="24"/>
              </w:rPr>
              <w:t>)</w:t>
            </w:r>
            <w:r w:rsidR="005D3C92">
              <w:rPr>
                <w:color w:val="000000"/>
                <w:szCs w:val="24"/>
              </w:rPr>
              <w:t xml:space="preserve"> </w:t>
            </w:r>
            <w:r>
              <w:rPr>
                <w:color w:val="000000"/>
                <w:szCs w:val="24"/>
              </w:rPr>
              <w:t>palyginti su vidutiniu darbuotojų skaičiumi per pastaruosius dvylika kalendorinių mėnesių iki paraiškos gavimo dienos padidėja*.</w:t>
            </w:r>
          </w:p>
          <w:p w14:paraId="37CBD680" w14:textId="77777777" w:rsidR="00FC1F0A" w:rsidRDefault="00A129EB">
            <w:pPr>
              <w:rPr>
                <w:color w:val="000000"/>
                <w:szCs w:val="24"/>
              </w:rPr>
            </w:pPr>
            <w:r>
              <w:rPr>
                <w:color w:val="000000"/>
                <w:szCs w:val="24"/>
              </w:rPr>
              <w:t>Grynasis darbuotojų skaičius gali nepadidėti, jei pareigybė ar pareigybės tapo laisvos dėl darbuotojų atleidimo Darbo kodekso 55, 56, 58 ar 60 straipsniuose nustatytais pagrindais arba savanoriško darbo laiko sutrumpinimo.</w:t>
            </w:r>
          </w:p>
          <w:p w14:paraId="21F0CA8A" w14:textId="77777777" w:rsidR="00FC1F0A" w:rsidRDefault="00A129EB">
            <w:pPr>
              <w:rPr>
                <w:szCs w:val="24"/>
              </w:rPr>
            </w:pPr>
            <w:r>
              <w:rPr>
                <w:color w:val="467886"/>
                <w:szCs w:val="24"/>
                <w:u w:val="single"/>
              </w:rPr>
              <w:t>(Reglamento (ES) Nr. 651/2014 III skyriaus 6 skirsnio 32 straipsnio 3 dalis, 33 straipsnio 3 dalis)</w:t>
            </w:r>
          </w:p>
        </w:tc>
        <w:tc>
          <w:tcPr>
            <w:tcW w:w="780" w:type="dxa"/>
            <w:hideMark/>
          </w:tcPr>
          <w:p w14:paraId="2D96C209" w14:textId="77777777" w:rsidR="00FC1F0A" w:rsidRDefault="00A129EB">
            <w:pPr>
              <w:rPr>
                <w:b/>
                <w:bCs/>
                <w:lang w:eastAsia="lt-LT"/>
              </w:rPr>
            </w:pPr>
            <w:r>
              <w:rPr>
                <w:b/>
                <w:bCs/>
                <w:lang w:eastAsia="lt-LT"/>
              </w:rPr>
              <w:t>☐</w:t>
            </w:r>
          </w:p>
        </w:tc>
        <w:tc>
          <w:tcPr>
            <w:tcW w:w="694" w:type="dxa"/>
          </w:tcPr>
          <w:p w14:paraId="0B9EAC10" w14:textId="77777777" w:rsidR="00FC1F0A" w:rsidRDefault="00A129EB">
            <w:pPr>
              <w:rPr>
                <w:b/>
                <w:bCs/>
                <w:lang w:eastAsia="lt-LT"/>
              </w:rPr>
            </w:pPr>
            <w:r>
              <w:rPr>
                <w:b/>
                <w:bCs/>
                <w:lang w:eastAsia="lt-LT"/>
              </w:rPr>
              <w:t>☐</w:t>
            </w:r>
          </w:p>
        </w:tc>
        <w:tc>
          <w:tcPr>
            <w:tcW w:w="1922" w:type="dxa"/>
            <w:hideMark/>
          </w:tcPr>
          <w:p w14:paraId="613B9EA7" w14:textId="77777777" w:rsidR="00FC1F0A" w:rsidRDefault="00A129EB">
            <w:r>
              <w:t xml:space="preserve">Dvylikos kalendorinių mėnesių vidutinis sąrašuose esančių darbuotojų skaičius ________. </w:t>
            </w:r>
          </w:p>
          <w:p w14:paraId="47425964" w14:textId="77777777" w:rsidR="00FC1F0A" w:rsidRDefault="00FC1F0A">
            <w:pPr>
              <w:rPr>
                <w:szCs w:val="24"/>
              </w:rPr>
            </w:pPr>
          </w:p>
        </w:tc>
      </w:tr>
      <w:tr w:rsidR="00FC1F0A" w14:paraId="34848FDB" w14:textId="77777777">
        <w:trPr>
          <w:trHeight w:val="624"/>
        </w:trPr>
        <w:tc>
          <w:tcPr>
            <w:tcW w:w="6232" w:type="dxa"/>
          </w:tcPr>
          <w:p w14:paraId="693A1F64" w14:textId="57422CEC" w:rsidR="00FC1F0A" w:rsidRDefault="00A129EB">
            <w:pPr>
              <w:rPr>
                <w:color w:val="000000"/>
              </w:rPr>
            </w:pPr>
            <w:r>
              <w:rPr>
                <w:color w:val="000000"/>
                <w:lang w:eastAsia="lt-LT"/>
              </w:rPr>
              <w:t xml:space="preserve">Darbdavio </w:t>
            </w:r>
            <w:r w:rsidR="005D3C92" w:rsidRPr="005D3C92">
              <w:rPr>
                <w:color w:val="000000"/>
                <w:lang w:eastAsia="lt-LT"/>
              </w:rPr>
              <w:t>ir su juo susiju</w:t>
            </w:r>
            <w:r w:rsidR="00062635">
              <w:rPr>
                <w:color w:val="000000"/>
                <w:lang w:eastAsia="lt-LT"/>
              </w:rPr>
              <w:t>sios</w:t>
            </w:r>
            <w:r w:rsidR="005D3C92" w:rsidRPr="005D3C92">
              <w:rPr>
                <w:color w:val="000000"/>
                <w:lang w:eastAsia="lt-LT"/>
              </w:rPr>
              <w:t> (-</w:t>
            </w:r>
            <w:proofErr w:type="spellStart"/>
            <w:r w:rsidR="00474966">
              <w:rPr>
                <w:color w:val="000000"/>
                <w:lang w:eastAsia="lt-LT"/>
              </w:rPr>
              <w:t>usių</w:t>
            </w:r>
            <w:proofErr w:type="spellEnd"/>
            <w:r w:rsidR="005D3C92" w:rsidRPr="005D3C92">
              <w:rPr>
                <w:color w:val="000000"/>
                <w:lang w:eastAsia="lt-LT"/>
              </w:rPr>
              <w:t>) įmonė</w:t>
            </w:r>
            <w:r w:rsidR="00474966">
              <w:rPr>
                <w:color w:val="000000"/>
                <w:lang w:eastAsia="lt-LT"/>
              </w:rPr>
              <w:t>s</w:t>
            </w:r>
            <w:r w:rsidR="005D3C92" w:rsidRPr="005D3C92">
              <w:rPr>
                <w:color w:val="000000"/>
                <w:lang w:eastAsia="lt-LT"/>
              </w:rPr>
              <w:t> (-</w:t>
            </w:r>
            <w:proofErr w:type="spellStart"/>
            <w:r w:rsidR="00474966">
              <w:rPr>
                <w:color w:val="000000"/>
                <w:lang w:eastAsia="lt-LT"/>
              </w:rPr>
              <w:t>ių</w:t>
            </w:r>
            <w:proofErr w:type="spellEnd"/>
            <w:r w:rsidR="005D3C92" w:rsidRPr="005D3C92">
              <w:rPr>
                <w:color w:val="000000"/>
                <w:lang w:eastAsia="lt-LT"/>
              </w:rPr>
              <w:t>)</w:t>
            </w:r>
            <w:r w:rsidR="005D3C92">
              <w:rPr>
                <w:color w:val="000000"/>
                <w:lang w:eastAsia="lt-LT"/>
              </w:rPr>
              <w:t xml:space="preserve"> </w:t>
            </w:r>
            <w:r>
              <w:rPr>
                <w:color w:val="000000"/>
                <w:lang w:eastAsia="lt-LT"/>
              </w:rPr>
              <w:t>grynasis (faktinis) darbuotojų skaičius Paraiškos teikimo dienai</w:t>
            </w:r>
          </w:p>
        </w:tc>
        <w:tc>
          <w:tcPr>
            <w:tcW w:w="1474" w:type="dxa"/>
            <w:gridSpan w:val="2"/>
          </w:tcPr>
          <w:p w14:paraId="75D31F3C" w14:textId="77777777" w:rsidR="00FC1F0A" w:rsidRDefault="00FC1F0A">
            <w:pPr>
              <w:jc w:val="center"/>
              <w:rPr>
                <w:b/>
                <w:bCs/>
                <w:lang w:eastAsia="lt-LT"/>
              </w:rPr>
            </w:pPr>
          </w:p>
        </w:tc>
        <w:tc>
          <w:tcPr>
            <w:tcW w:w="1922" w:type="dxa"/>
          </w:tcPr>
          <w:p w14:paraId="3F622DD1" w14:textId="77777777" w:rsidR="00FC1F0A" w:rsidRDefault="00A129EB">
            <w:pPr>
              <w:rPr>
                <w:i/>
                <w:iCs/>
              </w:rPr>
            </w:pPr>
            <w:r>
              <w:rPr>
                <w:i/>
                <w:iCs/>
              </w:rPr>
              <w:t xml:space="preserve">Įrašykite darbuotojų skaičių </w:t>
            </w:r>
          </w:p>
        </w:tc>
      </w:tr>
    </w:tbl>
    <w:p w14:paraId="5C8F91BC" w14:textId="77777777" w:rsidR="00FC1F0A" w:rsidRDefault="00FC1F0A">
      <w:pPr>
        <w:rPr>
          <w:sz w:val="20"/>
        </w:rPr>
      </w:pPr>
    </w:p>
    <w:p w14:paraId="0AD6B696" w14:textId="4DDEF82F" w:rsidR="00FC1F0A" w:rsidRDefault="00A129EB">
      <w:pPr>
        <w:rPr>
          <w:sz w:val="20"/>
        </w:rPr>
      </w:pPr>
      <w:r>
        <w:rPr>
          <w:sz w:val="20"/>
        </w:rPr>
        <w:t>* Grynasis darbuotojų skaičiaus padidėjimas – faktinis darbuotojų skaičiaus padidėjimas pas darbdavį</w:t>
      </w:r>
      <w:r w:rsidR="005D3C92">
        <w:rPr>
          <w:sz w:val="20"/>
        </w:rPr>
        <w:t xml:space="preserve"> </w:t>
      </w:r>
      <w:r w:rsidR="005D3C92" w:rsidRPr="005D3C92">
        <w:rPr>
          <w:sz w:val="20"/>
        </w:rPr>
        <w:t>ir su juo susijusioje (-</w:t>
      </w:r>
      <w:proofErr w:type="spellStart"/>
      <w:r w:rsidR="005D3C92" w:rsidRPr="005D3C92">
        <w:rPr>
          <w:sz w:val="20"/>
        </w:rPr>
        <w:t>iose</w:t>
      </w:r>
      <w:proofErr w:type="spellEnd"/>
      <w:r w:rsidR="005D3C92" w:rsidRPr="005D3C92">
        <w:rPr>
          <w:sz w:val="20"/>
        </w:rPr>
        <w:t>) įmonėje (-</w:t>
      </w:r>
      <w:proofErr w:type="spellStart"/>
      <w:r w:rsidR="005D3C92" w:rsidRPr="005D3C92">
        <w:rPr>
          <w:sz w:val="20"/>
        </w:rPr>
        <w:t>ėse</w:t>
      </w:r>
      <w:proofErr w:type="spellEnd"/>
      <w:r w:rsidR="005D3C92" w:rsidRPr="005D3C92">
        <w:rPr>
          <w:sz w:val="20"/>
        </w:rPr>
        <w:t>)</w:t>
      </w:r>
      <w:r>
        <w:rPr>
          <w:sz w:val="20"/>
        </w:rPr>
        <w:t>, palyginti su vidutiniu darbuotojų skaičiumi per dvylika kalendorinių mėnesių. Dvylikos kalendorinių mėnesių vidutinis sąrašuose esančių darbuotojų skaičius apskaičiuojamas sudedant darbuotojų skaičių kiekvieno kalendorinio mėnesio paskutinę darbo dieną ir gautą sumą padalijant iš 12 pagal šią formulę:</w:t>
      </w:r>
    </w:p>
    <w:p w14:paraId="6A27516F" w14:textId="77777777" w:rsidR="00FC1F0A" w:rsidRDefault="00A129EB">
      <w:pPr>
        <w:rPr>
          <w:sz w:val="20"/>
        </w:rPr>
      </w:pPr>
      <w:proofErr w:type="spellStart"/>
      <w:r>
        <w:rPr>
          <w:sz w:val="20"/>
        </w:rPr>
        <w:t>VDsk</w:t>
      </w:r>
      <w:proofErr w:type="spellEnd"/>
      <w:r>
        <w:rPr>
          <w:sz w:val="20"/>
        </w:rPr>
        <w:t xml:space="preserve"> = (1Dsk + 2Dsk + 3Dsk +... + 12Dsk) / 12, kur:</w:t>
      </w:r>
    </w:p>
    <w:p w14:paraId="016C1154" w14:textId="77777777" w:rsidR="00FC1F0A" w:rsidRDefault="00A129EB">
      <w:pPr>
        <w:rPr>
          <w:sz w:val="20"/>
        </w:rPr>
      </w:pPr>
      <w:proofErr w:type="spellStart"/>
      <w:r>
        <w:rPr>
          <w:sz w:val="20"/>
        </w:rPr>
        <w:t>VDsk</w:t>
      </w:r>
      <w:proofErr w:type="spellEnd"/>
      <w:r>
        <w:rPr>
          <w:sz w:val="20"/>
        </w:rPr>
        <w:t xml:space="preserve"> – vidutinis sąrašuose esančių darbuotojų skaičius;</w:t>
      </w:r>
    </w:p>
    <w:p w14:paraId="29E17C9D" w14:textId="77777777" w:rsidR="00FC1F0A" w:rsidRDefault="00A129EB">
      <w:pPr>
        <w:rPr>
          <w:sz w:val="20"/>
        </w:rPr>
      </w:pPr>
      <w:r>
        <w:rPr>
          <w:sz w:val="20"/>
        </w:rPr>
        <w:t>1Dsk – darbuotojų skaičius pirmojo iš dvylikos kalendorinių mėnesių, buvusių iki Paraiškos gavimo dienos, paskutinę darbo dieną;</w:t>
      </w:r>
    </w:p>
    <w:p w14:paraId="4A76563F" w14:textId="77777777" w:rsidR="00FC1F0A" w:rsidRDefault="00A129EB">
      <w:pPr>
        <w:rPr>
          <w:sz w:val="20"/>
        </w:rPr>
      </w:pPr>
      <w:r>
        <w:rPr>
          <w:sz w:val="20"/>
        </w:rPr>
        <w:t>2Dsk – darbuotojų skaičius antrojo iš dvylikos kalendorinių mėnesių, buvusių iki Paraiškos gavimo dienos, paskutinę darbo dieną;</w:t>
      </w:r>
    </w:p>
    <w:p w14:paraId="38D7919B" w14:textId="77777777" w:rsidR="00FC1F0A" w:rsidRDefault="00A129EB">
      <w:pPr>
        <w:rPr>
          <w:sz w:val="20"/>
        </w:rPr>
      </w:pPr>
      <w:r>
        <w:rPr>
          <w:sz w:val="20"/>
        </w:rPr>
        <w:t>3Dsk – darbuotojų skaičius trečiojo iš dvylikos kalendorinių mėnesių, buvusių iki Paraiškos gavimo dienos, paskutinę darbo dieną;</w:t>
      </w:r>
    </w:p>
    <w:p w14:paraId="40F9B9E1" w14:textId="77777777" w:rsidR="00FC1F0A" w:rsidRDefault="00A129EB">
      <w:pPr>
        <w:rPr>
          <w:sz w:val="20"/>
        </w:rPr>
      </w:pPr>
      <w:r>
        <w:rPr>
          <w:sz w:val="20"/>
        </w:rPr>
        <w:t>12Dsk – darbuotojų skaičius dvyliktojo iš dvylikos kalendorinių mėnesių, buvusių iki Paraiškos gavimo dienos, paskutinę darbo dieną.</w:t>
      </w:r>
    </w:p>
    <w:p w14:paraId="475CCD05" w14:textId="77777777" w:rsidR="00FC1F0A" w:rsidRDefault="00A129EB">
      <w:pPr>
        <w:rPr>
          <w:sz w:val="20"/>
        </w:rPr>
      </w:pPr>
      <w:r>
        <w:rPr>
          <w:sz w:val="20"/>
        </w:rPr>
        <w:t>Darbuotojas, dirbęs visą darbo dieną, laikomas vienetu, o ne visą darbo dieną dirbę darbuotojai laikomi vieneto dalimis: jeigu trečias skaitmuo po kablelio yra 5 arba didesnis negu 5, prie antrojo skaitmens po kablelio pridedamas vienetas, jeigu trečias skaitmuo po kablelio yra mažesnis negu 5, antras skaitmuo po kablelio lieka nepakitęs.</w:t>
      </w:r>
    </w:p>
    <w:p w14:paraId="4E322251" w14:textId="77777777" w:rsidR="00FC1F0A" w:rsidRDefault="00A129EB">
      <w:pPr>
        <w:rPr>
          <w:sz w:val="20"/>
        </w:rPr>
      </w:pPr>
      <w:r>
        <w:rPr>
          <w:sz w:val="20"/>
        </w:rPr>
        <w:t>Skaičiuojant vidutinį darbuotojų skaičių, neįtraukiami darbuotojai, kurie tam tikro kalendorinio mėnesio paskutinę darbo dieną yra nėštumo ir gimdymo atostogose, tėvystės atostogose, atostogose vaikui prižiūrėti, kol jam sueis treji metai, atlieka privalomąją karo arba alternatyviąją krašto apsaugos tarnybą, praktiką arba yra įdarbinti pagal pameistrystės darbo sutartį.</w:t>
      </w:r>
    </w:p>
    <w:p w14:paraId="745B4DAC" w14:textId="77777777" w:rsidR="00FC1F0A" w:rsidRDefault="00FC1F0A">
      <w:pPr>
        <w:rPr>
          <w:b/>
          <w:bCs/>
          <w:szCs w:val="24"/>
        </w:rPr>
      </w:pPr>
    </w:p>
    <w:p w14:paraId="6DBFADED" w14:textId="77777777" w:rsidR="00FC1F0A" w:rsidRDefault="00A129EB">
      <w:pPr>
        <w:rPr>
          <w:szCs w:val="24"/>
        </w:rPr>
      </w:pPr>
      <w:r>
        <w:rPr>
          <w:szCs w:val="24"/>
        </w:rPr>
        <w:t>PRIDEDAMA:</w:t>
      </w:r>
    </w:p>
    <w:p w14:paraId="6D805368" w14:textId="77777777" w:rsidR="00FC1F0A" w:rsidRDefault="00A129EB">
      <w:pPr>
        <w:ind w:left="720" w:hanging="360"/>
        <w:jc w:val="both"/>
      </w:pPr>
      <w:r>
        <w:t>1.</w:t>
      </w:r>
      <w:r>
        <w:tab/>
        <w:t xml:space="preserve">Lietuvos Respublikos ūkio ministro 2008 m. kovo 26 d. įsakymu Nr. 4-119 „Dėl Smulkiojo ir vidutinio verslo subjekto statuso deklaravimo tvarkos aprašo ir Smulkiojo ir vidutinio verslo </w:t>
      </w:r>
      <w:r>
        <w:lastRenderedPageBreak/>
        <w:t>subjekto statuso deklaracijos formos patvirtinimo“ patvirtinta nustatytos formos Smulkiojo ir vidutinio verslo subjekto statuso deklaracija, ____ lapas (-ai, ų);</w:t>
      </w:r>
    </w:p>
    <w:p w14:paraId="55A6EDB5" w14:textId="58C8172F" w:rsidR="00FC1F0A" w:rsidRDefault="00A129EB" w:rsidP="00654E51">
      <w:pPr>
        <w:ind w:left="720" w:hanging="360"/>
        <w:jc w:val="both"/>
        <w:rPr>
          <w:szCs w:val="24"/>
        </w:rPr>
      </w:pPr>
      <w:r>
        <w:rPr>
          <w:szCs w:val="24"/>
        </w:rPr>
        <w:t>2.</w:t>
      </w:r>
      <w:r>
        <w:rPr>
          <w:szCs w:val="24"/>
        </w:rPr>
        <w:tab/>
        <w:t xml:space="preserve">patvirtintas paskutinių finansinių metų juridinio asmens metinių finansinių ataskaitų rinkinys (metinių konsoliduotųjų finansinių ataskaitų rinkinys) kartu su auditoriaus išvada, jei buvo atliktas auditas, </w:t>
      </w:r>
      <w:r>
        <w:t>____</w:t>
      </w:r>
      <w:r>
        <w:rPr>
          <w:szCs w:val="24"/>
        </w:rPr>
        <w:t xml:space="preserve"> lapas (-ai, ų)</w:t>
      </w:r>
      <w:r w:rsidR="00654E51">
        <w:rPr>
          <w:szCs w:val="24"/>
        </w:rPr>
        <w:t>;</w:t>
      </w:r>
    </w:p>
    <w:p w14:paraId="58263DEA" w14:textId="782753D6" w:rsidR="00654E51" w:rsidRPr="00654E51" w:rsidRDefault="00654E51" w:rsidP="003A029A">
      <w:pPr>
        <w:ind w:left="709" w:hanging="567"/>
        <w:jc w:val="both"/>
        <w:rPr>
          <w:szCs w:val="24"/>
        </w:rPr>
      </w:pPr>
      <w:r>
        <w:rPr>
          <w:szCs w:val="24"/>
        </w:rPr>
        <w:t xml:space="preserve">   3.   užpildyta grynojo darbuotojų skaičiaus </w:t>
      </w:r>
      <w:r w:rsidRPr="005D3C92">
        <w:rPr>
          <w:color w:val="000000"/>
          <w:szCs w:val="24"/>
        </w:rPr>
        <w:t>pas darbdavį ir su juo susijusioje (-</w:t>
      </w:r>
      <w:proofErr w:type="spellStart"/>
      <w:r w:rsidRPr="005D3C92">
        <w:rPr>
          <w:color w:val="000000"/>
          <w:szCs w:val="24"/>
        </w:rPr>
        <w:t>iose</w:t>
      </w:r>
      <w:proofErr w:type="spellEnd"/>
      <w:r w:rsidRPr="005D3C92">
        <w:rPr>
          <w:color w:val="000000"/>
          <w:szCs w:val="24"/>
        </w:rPr>
        <w:t>) įmonėje (</w:t>
      </w:r>
      <w:r>
        <w:rPr>
          <w:color w:val="000000"/>
          <w:szCs w:val="24"/>
        </w:rPr>
        <w:t>-</w:t>
      </w:r>
      <w:proofErr w:type="spellStart"/>
      <w:r w:rsidRPr="005D3C92">
        <w:rPr>
          <w:color w:val="000000"/>
          <w:szCs w:val="24"/>
        </w:rPr>
        <w:t>ėse</w:t>
      </w:r>
      <w:proofErr w:type="spellEnd"/>
      <w:r w:rsidRPr="005D3C92">
        <w:rPr>
          <w:color w:val="000000"/>
          <w:szCs w:val="24"/>
        </w:rPr>
        <w:t>)</w:t>
      </w:r>
      <w:r>
        <w:rPr>
          <w:color w:val="000000"/>
          <w:szCs w:val="24"/>
        </w:rPr>
        <w:t xml:space="preserve"> pokyčio skaičiuoklė </w:t>
      </w:r>
      <w:r>
        <w:rPr>
          <w:szCs w:val="24"/>
        </w:rPr>
        <w:t>(</w:t>
      </w:r>
      <w:r w:rsidRPr="00C0685B">
        <w:rPr>
          <w:szCs w:val="24"/>
        </w:rPr>
        <w:t xml:space="preserve"> skelbiama Užimtumo tarnybos interneto svetainėj</w:t>
      </w:r>
      <w:r>
        <w:rPr>
          <w:szCs w:val="24"/>
        </w:rPr>
        <w:t>e, skiltyje Darbdaviams / Subsidijos darbo  užmokesčiui)</w:t>
      </w:r>
      <w:r w:rsidR="003A029A">
        <w:rPr>
          <w:szCs w:val="24"/>
        </w:rPr>
        <w:t>.</w:t>
      </w:r>
    </w:p>
    <w:p w14:paraId="7FFA252C" w14:textId="4E222874" w:rsidR="00FC1F0A" w:rsidRDefault="00A129EB">
      <w:pPr>
        <w:jc w:val="both"/>
        <w:rPr>
          <w:rFonts w:eastAsia="Calibri"/>
          <w:b/>
          <w:bCs/>
          <w:szCs w:val="24"/>
        </w:rPr>
      </w:pPr>
      <w:r>
        <w:rPr>
          <w:b/>
          <w:bCs/>
          <w:szCs w:val="24"/>
        </w:rPr>
        <w:t xml:space="preserve">Pavirtinu, kad šiame Teikime pateikta informacija yra tiksli ir teisinga. </w:t>
      </w:r>
      <w:r>
        <w:rPr>
          <w:rFonts w:eastAsia="Calibri"/>
          <w:b/>
          <w:bCs/>
          <w:szCs w:val="24"/>
        </w:rPr>
        <w:t>Įsipareigoju pateikti Užimtumo tarnybai jos prašomą informaciją bei papildomus dokumentus, patvirtinančius Paraiškoje pateiktos informacijos teisingumą.</w:t>
      </w:r>
    </w:p>
    <w:p w14:paraId="3A7102D2" w14:textId="77777777" w:rsidR="00FC1F0A" w:rsidRDefault="00FC1F0A">
      <w:pPr>
        <w:jc w:val="both"/>
        <w:rPr>
          <w:rFonts w:eastAsia="Calibri"/>
          <w:b/>
          <w:bCs/>
          <w:szCs w:val="24"/>
        </w:rPr>
      </w:pPr>
    </w:p>
    <w:p w14:paraId="1C85F341" w14:textId="77777777" w:rsidR="00FC1F0A" w:rsidRDefault="00A129EB">
      <w:pPr>
        <w:jc w:val="both"/>
        <w:rPr>
          <w:rFonts w:eastAsia="Calibri"/>
          <w:b/>
          <w:bCs/>
          <w:szCs w:val="24"/>
        </w:rPr>
      </w:pPr>
      <w:r>
        <w:rPr>
          <w:rFonts w:eastAsia="Calibri"/>
          <w:b/>
          <w:bCs/>
          <w:szCs w:val="24"/>
        </w:rPr>
        <w:t xml:space="preserve">Teikimas yra neatskiriama pateiktos </w:t>
      </w:r>
      <w:r>
        <w:rPr>
          <w:b/>
          <w:szCs w:val="24"/>
        </w:rPr>
        <w:t>Paraiškos dėl įdarbinimo subsidijuojant priemonės įgyvendinimo dalis.</w:t>
      </w:r>
    </w:p>
    <w:p w14:paraId="59D1CA98" w14:textId="77777777" w:rsidR="00FC1F0A" w:rsidRDefault="00FC1F0A">
      <w:pPr>
        <w:rPr>
          <w:szCs w:val="24"/>
        </w:rPr>
      </w:pPr>
    </w:p>
    <w:p w14:paraId="60561C15" w14:textId="77777777" w:rsidR="00FC1F0A" w:rsidRDefault="00A129EB">
      <w:pPr>
        <w:jc w:val="both"/>
        <w:rPr>
          <w:szCs w:val="24"/>
          <w:lang w:eastAsia="lt-LT"/>
        </w:rPr>
      </w:pPr>
      <w:r>
        <w:rPr>
          <w:szCs w:val="24"/>
          <w:lang w:eastAsia="lt-LT"/>
        </w:rPr>
        <w:t>_________________________________     ________________        ________________________</w:t>
      </w:r>
    </w:p>
    <w:p w14:paraId="62803CED" w14:textId="77777777" w:rsidR="00FC1F0A" w:rsidRDefault="00A129EB">
      <w:pPr>
        <w:ind w:firstLine="248"/>
        <w:rPr>
          <w:lang w:eastAsia="lt-LT"/>
        </w:rPr>
      </w:pPr>
      <w:r>
        <w:rPr>
          <w:vertAlign w:val="subscript"/>
          <w:lang w:eastAsia="lt-LT"/>
        </w:rPr>
        <w:t>(Darbdavio ar jo įgalioto asmens pareigos)                </w:t>
      </w:r>
      <w:r>
        <w:rPr>
          <w:vertAlign w:val="subscript"/>
          <w:lang w:eastAsia="lt-LT"/>
        </w:rPr>
        <w:tab/>
        <w:t>                       (parašas)                        </w:t>
      </w:r>
      <w:r>
        <w:rPr>
          <w:vertAlign w:val="subscript"/>
          <w:lang w:eastAsia="lt-LT"/>
        </w:rPr>
        <w:tab/>
        <w:t xml:space="preserve">               (vardas, pavardė)</w:t>
      </w:r>
    </w:p>
    <w:p w14:paraId="6CAE2E21" w14:textId="77777777" w:rsidR="00FC1F0A" w:rsidRDefault="00A129EB">
      <w:pPr>
        <w:jc w:val="center"/>
        <w:rPr>
          <w:szCs w:val="24"/>
          <w:lang w:eastAsia="lt-LT"/>
        </w:rPr>
      </w:pPr>
      <w:r>
        <w:rPr>
          <w:szCs w:val="24"/>
          <w:lang w:eastAsia="lt-LT"/>
        </w:rPr>
        <w:t>______________________</w:t>
      </w:r>
    </w:p>
    <w:sectPr w:rsidR="00FC1F0A">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297D" w14:textId="77777777" w:rsidR="00EC44BD" w:rsidRDefault="00EC44BD">
      <w:r>
        <w:separator/>
      </w:r>
    </w:p>
  </w:endnote>
  <w:endnote w:type="continuationSeparator" w:id="0">
    <w:p w14:paraId="2E9EEFB0" w14:textId="77777777" w:rsidR="00EC44BD" w:rsidRDefault="00EC44BD">
      <w:r>
        <w:continuationSeparator/>
      </w:r>
    </w:p>
  </w:endnote>
  <w:endnote w:type="continuationNotice" w:id="1">
    <w:p w14:paraId="0C148BDE" w14:textId="77777777" w:rsidR="00EC44BD" w:rsidRDefault="00EC4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D8B9" w14:textId="77777777" w:rsidR="00FC1F0A" w:rsidRDefault="00FC1F0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BC04" w14:textId="77777777" w:rsidR="00FC1F0A" w:rsidRDefault="00FC1F0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02D" w14:textId="77777777" w:rsidR="00FC1F0A" w:rsidRDefault="00FC1F0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A678" w14:textId="77777777" w:rsidR="00EC44BD" w:rsidRDefault="00EC44BD">
      <w:r>
        <w:separator/>
      </w:r>
    </w:p>
  </w:footnote>
  <w:footnote w:type="continuationSeparator" w:id="0">
    <w:p w14:paraId="3E704806" w14:textId="77777777" w:rsidR="00EC44BD" w:rsidRDefault="00EC44BD">
      <w:r>
        <w:continuationSeparator/>
      </w:r>
    </w:p>
  </w:footnote>
  <w:footnote w:type="continuationNotice" w:id="1">
    <w:p w14:paraId="1A16D96F" w14:textId="77777777" w:rsidR="00EC44BD" w:rsidRDefault="00EC4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3E15" w14:textId="77777777" w:rsidR="00FC1F0A" w:rsidRDefault="00FC1F0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2565" w14:textId="77777777" w:rsidR="00FC1F0A" w:rsidRDefault="00A129EB">
    <w:pPr>
      <w:tabs>
        <w:tab w:val="center" w:pos="4819"/>
        <w:tab w:val="right" w:pos="9638"/>
      </w:tabs>
      <w:jc w:val="center"/>
    </w:pPr>
    <w:r>
      <w:fldChar w:fldCharType="begin"/>
    </w:r>
    <w:r>
      <w:instrText>PAGE   \* MERGEFORMAT</w:instrText>
    </w:r>
    <w:r>
      <w:fldChar w:fldCharType="separate"/>
    </w:r>
    <w:r w:rsidR="007F62EF">
      <w:rPr>
        <w:noProof/>
      </w:rPr>
      <w:t>3</w:t>
    </w:r>
    <w:r>
      <w:fldChar w:fldCharType="end"/>
    </w:r>
  </w:p>
  <w:p w14:paraId="4C5F703A" w14:textId="77777777" w:rsidR="00FC1F0A" w:rsidRDefault="00FC1F0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FF6" w14:textId="77777777" w:rsidR="00FC1F0A" w:rsidRDefault="00FC1F0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C12"/>
    <w:rsid w:val="00062635"/>
    <w:rsid w:val="000B361D"/>
    <w:rsid w:val="00133C12"/>
    <w:rsid w:val="002C74DE"/>
    <w:rsid w:val="003A029A"/>
    <w:rsid w:val="003C3993"/>
    <w:rsid w:val="00474966"/>
    <w:rsid w:val="004A128A"/>
    <w:rsid w:val="005B1CAF"/>
    <w:rsid w:val="005D3C92"/>
    <w:rsid w:val="00654E51"/>
    <w:rsid w:val="00655EC3"/>
    <w:rsid w:val="007F62EF"/>
    <w:rsid w:val="009426DC"/>
    <w:rsid w:val="00970220"/>
    <w:rsid w:val="009D5F7A"/>
    <w:rsid w:val="00A129EB"/>
    <w:rsid w:val="00A775AC"/>
    <w:rsid w:val="00A9248C"/>
    <w:rsid w:val="00BB6D38"/>
    <w:rsid w:val="00BF6DBC"/>
    <w:rsid w:val="00C0685B"/>
    <w:rsid w:val="00C07B6C"/>
    <w:rsid w:val="00C92BE8"/>
    <w:rsid w:val="00D53593"/>
    <w:rsid w:val="00D80791"/>
    <w:rsid w:val="00D85840"/>
    <w:rsid w:val="00E6148A"/>
    <w:rsid w:val="00EA551F"/>
    <w:rsid w:val="00EC44BD"/>
    <w:rsid w:val="00F843C9"/>
    <w:rsid w:val="00FC1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9AFF"/>
  <w15:chartTrackingRefBased/>
  <w15:docId w15:val="{2F80FDA9-F4F2-4F04-BA18-CBC78B8A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29EB"/>
    <w:rPr>
      <w:color w:val="808080"/>
    </w:rPr>
  </w:style>
  <w:style w:type="paragraph" w:styleId="Pataisymai">
    <w:name w:val="Revision"/>
    <w:hidden/>
    <w:semiHidden/>
    <w:rsid w:val="005D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ce542f69ba8c531f2c24489025009dcf">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236ba8a3b4f94ee169a287836826eceb"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A586-7836-42FE-A660-2DA2D804856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63942A-B54A-4E6D-9741-2AE08FA0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F8561-770D-41B1-90B3-1FF80CAE9E50}">
  <ds:schemaRefs>
    <ds:schemaRef ds:uri="http://schemas.microsoft.com/sharepoint/v3/contenttype/forms"/>
  </ds:schemaRefs>
</ds:datastoreItem>
</file>

<file path=customXml/itemProps4.xml><?xml version="1.0" encoding="utf-8"?>
<ds:datastoreItem xmlns:ds="http://schemas.openxmlformats.org/officeDocument/2006/customXml" ds:itemID="{F0F84C7B-B4C5-4618-87B1-029F654FCF88}">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5860</Characters>
  <Application>Microsoft Office Word</Application>
  <DocSecurity>0</DocSecurity>
  <Lines>155</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Kamandulienė</dc:creator>
  <cp:lastModifiedBy>Milda Gvildytė</cp:lastModifiedBy>
  <cp:revision>2</cp:revision>
  <dcterms:created xsi:type="dcterms:W3CDTF">2025-12-18T08:10:00Z</dcterms:created>
  <dcterms:modified xsi:type="dcterms:W3CDTF">2025-12-18T08:10:00Z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ies>
</file>