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DD8C" w14:textId="77777777" w:rsidR="00C01EEF" w:rsidRPr="00C01EEF" w:rsidRDefault="00C01EEF" w:rsidP="00C01EEF">
      <w:pPr>
        <w:rPr>
          <w:rFonts w:ascii="Arial" w:hAnsi="Arial" w:cs="Arial"/>
          <w:sz w:val="24"/>
          <w:szCs w:val="24"/>
        </w:rPr>
      </w:pPr>
      <w:r w:rsidRPr="00C01EEF">
        <w:rPr>
          <w:rFonts w:ascii="Arial" w:hAnsi="Arial" w:cs="Arial"/>
          <w:b/>
          <w:bCs/>
          <w:sz w:val="24"/>
          <w:szCs w:val="24"/>
        </w:rPr>
        <w:t>REKOMENDACIJOS IR SIŪLYMAI RENGIANT UŽIMTUMO DIDINIMO PROGRAMĄ 2025 METAMS</w:t>
      </w:r>
    </w:p>
    <w:p w14:paraId="312712E9" w14:textId="77777777" w:rsidR="00C01EEF" w:rsidRPr="00C01EEF" w:rsidRDefault="00C01EEF" w:rsidP="00C01EEF">
      <w:pPr>
        <w:rPr>
          <w:rFonts w:ascii="Arial" w:hAnsi="Arial" w:cs="Arial"/>
          <w:sz w:val="24"/>
          <w:szCs w:val="24"/>
        </w:rPr>
      </w:pPr>
      <w:r w:rsidRPr="00C01EEF">
        <w:rPr>
          <w:rFonts w:ascii="Arial" w:hAnsi="Arial" w:cs="Arial"/>
          <w:sz w:val="24"/>
          <w:szCs w:val="24"/>
        </w:rPr>
        <w:t> </w:t>
      </w:r>
    </w:p>
    <w:p w14:paraId="1CCC4782" w14:textId="77777777" w:rsidR="00C01EEF" w:rsidRPr="00C01EEF" w:rsidRDefault="00C01EEF" w:rsidP="00C01EEF">
      <w:pPr>
        <w:numPr>
          <w:ilvl w:val="0"/>
          <w:numId w:val="1"/>
        </w:numPr>
        <w:rPr>
          <w:rFonts w:ascii="Arial" w:hAnsi="Arial" w:cs="Arial"/>
          <w:sz w:val="24"/>
          <w:szCs w:val="24"/>
        </w:rPr>
      </w:pPr>
      <w:r w:rsidRPr="00C01EEF">
        <w:rPr>
          <w:rFonts w:ascii="Arial" w:hAnsi="Arial" w:cs="Arial"/>
          <w:sz w:val="24"/>
          <w:szCs w:val="24"/>
        </w:rPr>
        <w:t>Siekiant efektyviai planuoti Užimtumo tarnybos klientų veiklą darbo paieškos ar pamatinių problemų sprendimo etapuose, reikalinga įvertinti koks klientų skaičius galės dalyvauti savivaldų įgyvendinamose užimtumo didinimo programose. Prašome </w:t>
      </w:r>
      <w:r w:rsidRPr="00C01EEF">
        <w:rPr>
          <w:rFonts w:ascii="Arial" w:hAnsi="Arial" w:cs="Arial"/>
          <w:b/>
          <w:bCs/>
          <w:i/>
          <w:iCs/>
          <w:sz w:val="24"/>
          <w:szCs w:val="24"/>
        </w:rPr>
        <w:t>užimtumo didinimo programoje nurodyti dalyvių apimtis: koks yra bendras užimtumo didinimo programos dalyvių skaičius, išskiriant paslaugų ir priemonių dalyvius, taip pat išskiriant persikėlusių dalyvių iš 2024-ųjų skaičių, bei naujų dalyvių skaičių.</w:t>
      </w:r>
    </w:p>
    <w:p w14:paraId="5EC08AE5" w14:textId="573B6631" w:rsidR="00C01EEF" w:rsidRPr="00C01EEF" w:rsidRDefault="00C01EEF" w:rsidP="00C01EEF">
      <w:pPr>
        <w:numPr>
          <w:ilvl w:val="0"/>
          <w:numId w:val="1"/>
        </w:numPr>
        <w:rPr>
          <w:rFonts w:ascii="Arial" w:hAnsi="Arial" w:cs="Arial"/>
          <w:sz w:val="24"/>
          <w:szCs w:val="24"/>
        </w:rPr>
      </w:pPr>
      <w:r w:rsidRPr="00C01EEF">
        <w:rPr>
          <w:rFonts w:ascii="Arial" w:hAnsi="Arial" w:cs="Arial"/>
          <w:sz w:val="24"/>
          <w:szCs w:val="24"/>
        </w:rPr>
        <w:t>Dirbant su bedarbiais bei darbo rinkai besirengiančiais asmenimis, svarbu numatyti kiekvienai tikslinei grupei reikalingas priemones bei paslaugas, kurios yra apibrėžtos Užimtumo įstatyme. Atsižvelgiant į tai, atkreipiame dėmesį, jog </w:t>
      </w:r>
      <w:r w:rsidRPr="00C01EEF">
        <w:rPr>
          <w:rFonts w:ascii="Arial" w:hAnsi="Arial" w:cs="Arial"/>
          <w:b/>
          <w:bCs/>
          <w:i/>
          <w:iCs/>
          <w:sz w:val="24"/>
          <w:szCs w:val="24"/>
        </w:rPr>
        <w:t>numatant tikslines užimtumo didinimo programos dalyvių grupes, savivaldos turėtų vadovautis Užimtumo įstatymo 48 str. 2 d. 1-12 punktais, neeliminuojant nei vieno punkto sąlygų.</w:t>
      </w:r>
    </w:p>
    <w:p w14:paraId="01864532" w14:textId="67A03BD4" w:rsidR="00C01EEF" w:rsidRPr="00C01EEF" w:rsidRDefault="00C01EEF" w:rsidP="00C01EEF">
      <w:pPr>
        <w:rPr>
          <w:rFonts w:ascii="Arial" w:hAnsi="Arial" w:cs="Arial"/>
          <w:sz w:val="24"/>
          <w:szCs w:val="24"/>
        </w:rPr>
      </w:pPr>
      <w:r w:rsidRPr="00C01EEF">
        <w:rPr>
          <w:rFonts w:ascii="Arial" w:hAnsi="Arial" w:cs="Arial"/>
          <w:sz w:val="24"/>
          <w:szCs w:val="24"/>
        </w:rPr>
        <w:t>  </w:t>
      </w:r>
    </w:p>
    <w:p w14:paraId="1719487D" w14:textId="77777777" w:rsidR="00C01EEF" w:rsidRPr="00C01EEF" w:rsidRDefault="00C01EEF" w:rsidP="00C01EEF">
      <w:pPr>
        <w:numPr>
          <w:ilvl w:val="0"/>
          <w:numId w:val="3"/>
        </w:numPr>
        <w:rPr>
          <w:rFonts w:ascii="Arial" w:hAnsi="Arial" w:cs="Arial"/>
          <w:sz w:val="24"/>
          <w:szCs w:val="24"/>
        </w:rPr>
      </w:pPr>
      <w:r w:rsidRPr="00C01EEF">
        <w:rPr>
          <w:rFonts w:ascii="Arial" w:hAnsi="Arial" w:cs="Arial"/>
          <w:sz w:val="24"/>
          <w:szCs w:val="24"/>
        </w:rPr>
        <w:t>Kadangi užimtumo didinimo programa skirta toje savivaldybėje gyvenantiems asmenims, kurie yra registruoti atitinkamame Užimtumo tarnybos Klientų aptarnavimo skyriuje, prašome </w:t>
      </w:r>
      <w:r w:rsidRPr="00C01EEF">
        <w:rPr>
          <w:rFonts w:ascii="Arial" w:hAnsi="Arial" w:cs="Arial"/>
          <w:b/>
          <w:bCs/>
          <w:i/>
          <w:iCs/>
          <w:sz w:val="24"/>
          <w:szCs w:val="24"/>
        </w:rPr>
        <w:t>neapriboti galimybės dalyvauti užimtumo didinimo programos dalyviams, kurie nėra deklaravę gyvenamosios vietos konkrečioje teritorijoje.</w:t>
      </w:r>
    </w:p>
    <w:p w14:paraId="3FFE952A" w14:textId="77777777" w:rsidR="00C01EEF" w:rsidRPr="00C01EEF" w:rsidRDefault="00C01EEF" w:rsidP="00C01EEF">
      <w:pPr>
        <w:rPr>
          <w:rFonts w:ascii="Arial" w:hAnsi="Arial" w:cs="Arial"/>
          <w:sz w:val="24"/>
          <w:szCs w:val="24"/>
        </w:rPr>
      </w:pPr>
      <w:r w:rsidRPr="00C01EEF">
        <w:rPr>
          <w:rFonts w:ascii="Arial" w:hAnsi="Arial" w:cs="Arial"/>
          <w:sz w:val="24"/>
          <w:szCs w:val="24"/>
        </w:rPr>
        <w:t> </w:t>
      </w:r>
    </w:p>
    <w:p w14:paraId="24AD429D" w14:textId="77777777" w:rsidR="00C01EEF" w:rsidRPr="00C01EEF" w:rsidRDefault="00C01EEF" w:rsidP="00C01EEF">
      <w:pPr>
        <w:numPr>
          <w:ilvl w:val="0"/>
          <w:numId w:val="4"/>
        </w:numPr>
        <w:rPr>
          <w:rFonts w:ascii="Arial" w:hAnsi="Arial" w:cs="Arial"/>
          <w:sz w:val="24"/>
          <w:szCs w:val="24"/>
        </w:rPr>
      </w:pPr>
      <w:r w:rsidRPr="00C01EEF">
        <w:rPr>
          <w:rFonts w:ascii="Arial" w:hAnsi="Arial" w:cs="Arial"/>
          <w:sz w:val="24"/>
          <w:szCs w:val="24"/>
        </w:rPr>
        <w:t>Analizuojant užimtumo didinimo programų efektyvumo rodiklius, pastebėta, jog užimtumo didinimo programų dalyviai, kuriems buvo taikytos priemonės, t. y. terminuoti darbai privačiuose sektoriuose (versle), dažniau liko dirbti tose pozicijose ir po terminuotų darbų pabaigos nei asmenys, kurie turėjo galimybę padirbėti seniūnijose, taigi raginame </w:t>
      </w:r>
      <w:r w:rsidRPr="00C01EEF">
        <w:rPr>
          <w:rFonts w:ascii="Arial" w:hAnsi="Arial" w:cs="Arial"/>
          <w:b/>
          <w:bCs/>
          <w:i/>
          <w:iCs/>
          <w:sz w:val="24"/>
          <w:szCs w:val="24"/>
        </w:rPr>
        <w:t>į</w:t>
      </w:r>
      <w:r w:rsidRPr="00C01EEF">
        <w:rPr>
          <w:rFonts w:ascii="Arial" w:hAnsi="Arial" w:cs="Arial"/>
          <w:sz w:val="24"/>
          <w:szCs w:val="24"/>
        </w:rPr>
        <w:t> </w:t>
      </w:r>
      <w:r w:rsidRPr="00C01EEF">
        <w:rPr>
          <w:rFonts w:ascii="Arial" w:hAnsi="Arial" w:cs="Arial"/>
          <w:b/>
          <w:bCs/>
          <w:i/>
          <w:iCs/>
          <w:sz w:val="24"/>
          <w:szCs w:val="24"/>
        </w:rPr>
        <w:t>užimtumo didinimo programų įgyvendinimą įtraukti verslą, vietos darbdavius suinteresuotus užpildyti įmonių laisvas darbo vietas, o ne tik seniūnijas.</w:t>
      </w:r>
    </w:p>
    <w:p w14:paraId="25E154CF" w14:textId="77777777" w:rsidR="00C01EEF" w:rsidRPr="00C01EEF" w:rsidRDefault="00C01EEF" w:rsidP="00C01EEF">
      <w:pPr>
        <w:rPr>
          <w:rFonts w:ascii="Arial" w:hAnsi="Arial" w:cs="Arial"/>
          <w:sz w:val="24"/>
          <w:szCs w:val="24"/>
        </w:rPr>
      </w:pPr>
      <w:r w:rsidRPr="00C01EEF">
        <w:rPr>
          <w:rFonts w:ascii="Arial" w:hAnsi="Arial" w:cs="Arial"/>
          <w:sz w:val="24"/>
          <w:szCs w:val="24"/>
        </w:rPr>
        <w:t> </w:t>
      </w:r>
    </w:p>
    <w:p w14:paraId="507F3F86" w14:textId="77777777" w:rsidR="00C01EEF" w:rsidRPr="00C01EEF" w:rsidRDefault="00C01EEF" w:rsidP="00C01EEF">
      <w:pPr>
        <w:numPr>
          <w:ilvl w:val="0"/>
          <w:numId w:val="5"/>
        </w:numPr>
        <w:rPr>
          <w:rFonts w:ascii="Arial" w:hAnsi="Arial" w:cs="Arial"/>
          <w:sz w:val="24"/>
          <w:szCs w:val="24"/>
        </w:rPr>
      </w:pPr>
      <w:r w:rsidRPr="00C01EEF">
        <w:rPr>
          <w:rFonts w:ascii="Arial" w:hAnsi="Arial" w:cs="Arial"/>
          <w:sz w:val="24"/>
          <w:szCs w:val="24"/>
        </w:rPr>
        <w:t>Vertinant darbo rinkoje besirengiančių asmenų problematikas bei turimą išsilavinimą, darbinę patirtį, pastebime, jog egzistuoja nereti atvejai, kai skolų ar priklausomybių kliūtį turintis asmuo yra įgijęs aukštąjį išsilavinimą ir (ar) turi darbinės veiklos praktikos aukštesnėse pozicijose. Atsižvelgiant į tai skatiname derinant paslaugų teikimą ir priemonių taikymą, </w:t>
      </w:r>
      <w:r w:rsidRPr="00C01EEF">
        <w:rPr>
          <w:rFonts w:ascii="Arial" w:hAnsi="Arial" w:cs="Arial"/>
          <w:b/>
          <w:bCs/>
          <w:i/>
          <w:iCs/>
          <w:sz w:val="24"/>
          <w:szCs w:val="24"/>
        </w:rPr>
        <w:t>į priemonių, t. y. terminuotų darbų organizavimą įtraukti ir kvalifikuotas pozicijas.</w:t>
      </w:r>
    </w:p>
    <w:p w14:paraId="3CB4C59B" w14:textId="77777777" w:rsidR="00C01EEF" w:rsidRPr="00C01EEF" w:rsidRDefault="00C01EEF" w:rsidP="00C01EEF">
      <w:pPr>
        <w:rPr>
          <w:rFonts w:ascii="Arial" w:hAnsi="Arial" w:cs="Arial"/>
          <w:sz w:val="24"/>
          <w:szCs w:val="24"/>
        </w:rPr>
      </w:pPr>
      <w:r w:rsidRPr="00C01EEF">
        <w:rPr>
          <w:rFonts w:ascii="Arial" w:hAnsi="Arial" w:cs="Arial"/>
          <w:sz w:val="24"/>
          <w:szCs w:val="24"/>
        </w:rPr>
        <w:t> </w:t>
      </w:r>
    </w:p>
    <w:p w14:paraId="7E0DA18C" w14:textId="77777777" w:rsidR="00C01EEF" w:rsidRPr="00C01EEF" w:rsidRDefault="00C01EEF" w:rsidP="00C01EEF">
      <w:pPr>
        <w:numPr>
          <w:ilvl w:val="0"/>
          <w:numId w:val="6"/>
        </w:numPr>
        <w:rPr>
          <w:rFonts w:ascii="Arial" w:hAnsi="Arial" w:cs="Arial"/>
          <w:sz w:val="24"/>
          <w:szCs w:val="24"/>
        </w:rPr>
      </w:pPr>
      <w:r w:rsidRPr="00C01EEF">
        <w:rPr>
          <w:rFonts w:ascii="Arial" w:hAnsi="Arial" w:cs="Arial"/>
          <w:sz w:val="24"/>
          <w:szCs w:val="24"/>
        </w:rPr>
        <w:t>Siekiant, jog informacija apie įgyvendinamas užimtumo didinimo programas pasiektų kiekvieną, kuriam tai galėtų būti aktualu ir reikšminga, siūlome praplėsti informacijos sklaidos kanalus ir į darbotvarkę</w:t>
      </w:r>
      <w:r w:rsidRPr="00C01EEF">
        <w:rPr>
          <w:rFonts w:ascii="Arial" w:hAnsi="Arial" w:cs="Arial"/>
          <w:b/>
          <w:bCs/>
          <w:i/>
          <w:iCs/>
          <w:sz w:val="24"/>
          <w:szCs w:val="24"/>
        </w:rPr>
        <w:t xml:space="preserve"> įtraukti švietėjiškus renginius </w:t>
      </w:r>
      <w:r w:rsidRPr="00C01EEF">
        <w:rPr>
          <w:rFonts w:ascii="Arial" w:hAnsi="Arial" w:cs="Arial"/>
          <w:b/>
          <w:bCs/>
          <w:i/>
          <w:iCs/>
          <w:sz w:val="24"/>
          <w:szCs w:val="24"/>
        </w:rPr>
        <w:lastRenderedPageBreak/>
        <w:t>Užimtumo tarnyboje, pristatant patvirtintos užimtumo didinimo programos gaires bei realias dalyvavimo galimybes.</w:t>
      </w:r>
    </w:p>
    <w:p w14:paraId="6BFB7AAF" w14:textId="77777777" w:rsidR="00C01EEF" w:rsidRPr="00C01EEF" w:rsidRDefault="00C01EEF" w:rsidP="00C01EEF">
      <w:pPr>
        <w:rPr>
          <w:rFonts w:ascii="Arial" w:hAnsi="Arial" w:cs="Arial"/>
          <w:sz w:val="24"/>
          <w:szCs w:val="24"/>
        </w:rPr>
      </w:pPr>
      <w:r w:rsidRPr="00C01EEF">
        <w:rPr>
          <w:rFonts w:ascii="Arial" w:hAnsi="Arial" w:cs="Arial"/>
          <w:sz w:val="24"/>
          <w:szCs w:val="24"/>
        </w:rPr>
        <w:t> </w:t>
      </w:r>
    </w:p>
    <w:p w14:paraId="299E6B1C" w14:textId="77777777" w:rsidR="00C01EEF" w:rsidRPr="00C01EEF" w:rsidRDefault="00C01EEF" w:rsidP="00C01EEF">
      <w:pPr>
        <w:numPr>
          <w:ilvl w:val="0"/>
          <w:numId w:val="7"/>
        </w:numPr>
        <w:rPr>
          <w:rFonts w:ascii="Arial" w:hAnsi="Arial" w:cs="Arial"/>
          <w:sz w:val="24"/>
          <w:szCs w:val="24"/>
        </w:rPr>
      </w:pPr>
      <w:r w:rsidRPr="00C01EEF">
        <w:rPr>
          <w:rFonts w:ascii="Arial" w:hAnsi="Arial" w:cs="Arial"/>
          <w:sz w:val="24"/>
          <w:szCs w:val="24"/>
        </w:rPr>
        <w:t>Pastebime, jog dalis savivaldybių užimtumo didinimo programų yra patvirtintos ne vieneriems metams. Norėdami nusimatyti Užimtumo tarnybos specialistų darbų apimtis bei tikslingai suplanuoti klientų veiklos kryptis, prašome jūsų, jog </w:t>
      </w:r>
      <w:r w:rsidRPr="00C01EEF">
        <w:rPr>
          <w:rFonts w:ascii="Arial" w:hAnsi="Arial" w:cs="Arial"/>
          <w:b/>
          <w:bCs/>
          <w:i/>
          <w:iCs/>
          <w:sz w:val="24"/>
          <w:szCs w:val="24"/>
        </w:rPr>
        <w:t>tvirtindami Užimtumo didinimo programą ne vieneriems metams, išskirtumėte kiekvienų metų planuojamas veiklas bei dalyvių apimtis.</w:t>
      </w:r>
    </w:p>
    <w:p w14:paraId="3D7FDB6D" w14:textId="77777777" w:rsidR="00C01EEF" w:rsidRPr="00C01EEF" w:rsidRDefault="00C01EEF" w:rsidP="00C01EEF">
      <w:pPr>
        <w:rPr>
          <w:rFonts w:ascii="Arial" w:hAnsi="Arial" w:cs="Arial"/>
          <w:sz w:val="24"/>
          <w:szCs w:val="24"/>
        </w:rPr>
      </w:pPr>
      <w:r w:rsidRPr="00C01EEF">
        <w:rPr>
          <w:rFonts w:ascii="Arial" w:hAnsi="Arial" w:cs="Arial"/>
          <w:b/>
          <w:bCs/>
          <w:i/>
          <w:iCs/>
          <w:sz w:val="24"/>
          <w:szCs w:val="24"/>
        </w:rPr>
        <w:t> </w:t>
      </w:r>
    </w:p>
    <w:p w14:paraId="51BBC073" w14:textId="77777777" w:rsidR="00A936F6" w:rsidRPr="00C01EEF" w:rsidRDefault="00A936F6">
      <w:pPr>
        <w:rPr>
          <w:rFonts w:ascii="Arial" w:hAnsi="Arial" w:cs="Arial"/>
          <w:sz w:val="24"/>
          <w:szCs w:val="24"/>
        </w:rPr>
      </w:pPr>
    </w:p>
    <w:sectPr w:rsidR="00A936F6" w:rsidRPr="00C01E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56E7"/>
    <w:multiLevelType w:val="multilevel"/>
    <w:tmpl w:val="42DC84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6F6675"/>
    <w:multiLevelType w:val="multilevel"/>
    <w:tmpl w:val="D24645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B6EF9"/>
    <w:multiLevelType w:val="multilevel"/>
    <w:tmpl w:val="20EC7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F02E83"/>
    <w:multiLevelType w:val="multilevel"/>
    <w:tmpl w:val="2D5ECE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470ABA"/>
    <w:multiLevelType w:val="multilevel"/>
    <w:tmpl w:val="70AE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121D8"/>
    <w:multiLevelType w:val="multilevel"/>
    <w:tmpl w:val="01A0C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6B285C"/>
    <w:multiLevelType w:val="multilevel"/>
    <w:tmpl w:val="0D20E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115051">
    <w:abstractNumId w:val="4"/>
  </w:num>
  <w:num w:numId="2" w16cid:durableId="1937060239">
    <w:abstractNumId w:val="2"/>
  </w:num>
  <w:num w:numId="3" w16cid:durableId="1563760290">
    <w:abstractNumId w:val="6"/>
  </w:num>
  <w:num w:numId="4" w16cid:durableId="527647784">
    <w:abstractNumId w:val="5"/>
  </w:num>
  <w:num w:numId="5" w16cid:durableId="1445997721">
    <w:abstractNumId w:val="3"/>
  </w:num>
  <w:num w:numId="6" w16cid:durableId="1102334725">
    <w:abstractNumId w:val="0"/>
  </w:num>
  <w:num w:numId="7" w16cid:durableId="978850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EF"/>
    <w:rsid w:val="004764E7"/>
    <w:rsid w:val="00A936F6"/>
    <w:rsid w:val="00B42A19"/>
    <w:rsid w:val="00C01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A279"/>
  <w15:chartTrackingRefBased/>
  <w15:docId w15:val="{4DEFFCF7-49F2-4E94-B5AF-58300E96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1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01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01E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01E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01E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01E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1E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1E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1E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1E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01E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01E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01E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01E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01E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1E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1E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1E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1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1E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1E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1E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1E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1EEF"/>
    <w:rPr>
      <w:i/>
      <w:iCs/>
      <w:color w:val="404040" w:themeColor="text1" w:themeTint="BF"/>
    </w:rPr>
  </w:style>
  <w:style w:type="paragraph" w:styleId="Sraopastraipa">
    <w:name w:val="List Paragraph"/>
    <w:basedOn w:val="prastasis"/>
    <w:uiPriority w:val="34"/>
    <w:qFormat/>
    <w:rsid w:val="00C01EEF"/>
    <w:pPr>
      <w:ind w:left="720"/>
      <w:contextualSpacing/>
    </w:pPr>
  </w:style>
  <w:style w:type="character" w:styleId="Rykuspabraukimas">
    <w:name w:val="Intense Emphasis"/>
    <w:basedOn w:val="Numatytasispastraiposriftas"/>
    <w:uiPriority w:val="21"/>
    <w:qFormat/>
    <w:rsid w:val="00C01EEF"/>
    <w:rPr>
      <w:i/>
      <w:iCs/>
      <w:color w:val="2F5496" w:themeColor="accent1" w:themeShade="BF"/>
    </w:rPr>
  </w:style>
  <w:style w:type="paragraph" w:styleId="Iskirtacitata">
    <w:name w:val="Intense Quote"/>
    <w:basedOn w:val="prastasis"/>
    <w:next w:val="prastasis"/>
    <w:link w:val="IskirtacitataDiagrama"/>
    <w:uiPriority w:val="30"/>
    <w:qFormat/>
    <w:rsid w:val="00C01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01EEF"/>
    <w:rPr>
      <w:i/>
      <w:iCs/>
      <w:color w:val="2F5496" w:themeColor="accent1" w:themeShade="BF"/>
    </w:rPr>
  </w:style>
  <w:style w:type="character" w:styleId="Rykinuoroda">
    <w:name w:val="Intense Reference"/>
    <w:basedOn w:val="Numatytasispastraiposriftas"/>
    <w:uiPriority w:val="32"/>
    <w:qFormat/>
    <w:rsid w:val="00C01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398</TotalTime>
  <Pages>2</Pages>
  <Words>1892</Words>
  <Characters>1079</Characters>
  <Application>Microsoft Office Word</Application>
  <DocSecurity>0</DocSecurity>
  <Lines>8</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Vegytė</dc:creator>
  <cp:keywords/>
  <dc:description/>
  <cp:lastModifiedBy>Inga Vegytė</cp:lastModifiedBy>
  <cp:revision>1</cp:revision>
  <dcterms:created xsi:type="dcterms:W3CDTF">2025-11-14T06:08:00Z</dcterms:created>
  <dcterms:modified xsi:type="dcterms:W3CDTF">2025-11-14T12:46:00Z</dcterms:modified>
</cp:coreProperties>
</file>